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90E78" w14:textId="77777777" w:rsidR="00CC5A37" w:rsidRDefault="00CC5A37" w:rsidP="0018026D">
      <w:pPr>
        <w:snapToGrid w:val="0"/>
        <w:jc w:val="center"/>
        <w:rPr>
          <w:rFonts w:ascii="Arial" w:hAnsi="Arial" w:cs="Arial"/>
          <w:b/>
          <w:bCs/>
          <w:sz w:val="22"/>
          <w:szCs w:val="22"/>
          <w:lang w:eastAsia="zh-CN"/>
        </w:rPr>
      </w:pPr>
      <w:bookmarkStart w:id="0" w:name="_GoBack"/>
      <w:bookmarkEnd w:id="0"/>
    </w:p>
    <w:p w14:paraId="4A3D0A01" w14:textId="77777777" w:rsidR="00CC5A37" w:rsidRPr="00F33061" w:rsidRDefault="00CC5A37" w:rsidP="00763735">
      <w:pPr>
        <w:ind w:left="1440" w:hanging="1440"/>
        <w:contextualSpacing/>
        <w:rPr>
          <w:rFonts w:ascii="Arial" w:hAnsi="Arial" w:cs="Arial"/>
          <w:b/>
          <w:bCs/>
          <w:sz w:val="22"/>
          <w:szCs w:val="22"/>
        </w:rPr>
      </w:pPr>
      <w:r w:rsidRPr="00F33061">
        <w:rPr>
          <w:rFonts w:ascii="Arial" w:hAnsi="Arial" w:cs="Arial"/>
          <w:b/>
          <w:bCs/>
          <w:sz w:val="22"/>
          <w:szCs w:val="22"/>
        </w:rPr>
        <w:t>SCHEDULE VI</w:t>
      </w:r>
      <w:r w:rsidR="00763735">
        <w:rPr>
          <w:rFonts w:ascii="Arial" w:hAnsi="Arial" w:cs="Arial" w:hint="eastAsia"/>
          <w:b/>
          <w:bCs/>
          <w:sz w:val="22"/>
          <w:szCs w:val="22"/>
          <w:lang w:eastAsia="zh-CN"/>
        </w:rPr>
        <w:t xml:space="preserve">        </w:t>
      </w:r>
      <w:r w:rsidRPr="00F33061">
        <w:rPr>
          <w:rFonts w:ascii="Arial" w:hAnsi="Arial" w:cs="Arial"/>
          <w:b/>
          <w:bCs/>
          <w:sz w:val="22"/>
          <w:szCs w:val="22"/>
        </w:rPr>
        <w:t xml:space="preserve">Hazardous and Other wastes prohibited for import </w:t>
      </w:r>
    </w:p>
    <w:p w14:paraId="22B59E3C" w14:textId="77777777" w:rsidR="00CC5A37" w:rsidRPr="00F33061" w:rsidRDefault="00CC5A37" w:rsidP="00CC5A37">
      <w:pPr>
        <w:ind w:left="1440" w:hanging="1440"/>
        <w:contextualSpacing/>
        <w:jc w:val="both"/>
        <w:rPr>
          <w:rFonts w:ascii="Arial" w:hAnsi="Arial"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8010"/>
      </w:tblGrid>
      <w:tr w:rsidR="00CC5A37" w:rsidRPr="00F33061" w14:paraId="5C816BDE" w14:textId="77777777" w:rsidTr="00BE0F67">
        <w:trPr>
          <w:trHeight w:val="355"/>
        </w:trPr>
        <w:tc>
          <w:tcPr>
            <w:tcW w:w="1170" w:type="dxa"/>
            <w:shd w:val="clear" w:color="auto" w:fill="auto"/>
          </w:tcPr>
          <w:p w14:paraId="2C841D6B" w14:textId="77777777" w:rsidR="00CC5A37" w:rsidRPr="00F33061" w:rsidRDefault="00CC5A37" w:rsidP="00BE0F67">
            <w:pPr>
              <w:contextualSpacing/>
              <w:jc w:val="both"/>
              <w:rPr>
                <w:rFonts w:ascii="Arial" w:hAnsi="Arial" w:cs="Arial"/>
                <w:b/>
                <w:bCs/>
                <w:sz w:val="22"/>
                <w:szCs w:val="22"/>
              </w:rPr>
            </w:pPr>
            <w:r w:rsidRPr="00F33061">
              <w:rPr>
                <w:rFonts w:ascii="Arial" w:hAnsi="Arial" w:cs="Arial"/>
                <w:b/>
                <w:bCs/>
                <w:sz w:val="22"/>
                <w:szCs w:val="22"/>
              </w:rPr>
              <w:t>Basel No</w:t>
            </w:r>
          </w:p>
        </w:tc>
        <w:tc>
          <w:tcPr>
            <w:tcW w:w="8010" w:type="dxa"/>
            <w:shd w:val="clear" w:color="auto" w:fill="auto"/>
          </w:tcPr>
          <w:p w14:paraId="63695F7F" w14:textId="77777777" w:rsidR="00CC5A37" w:rsidRPr="00F33061" w:rsidRDefault="00CC5A37" w:rsidP="00BE0F67">
            <w:pPr>
              <w:contextualSpacing/>
              <w:jc w:val="both"/>
              <w:rPr>
                <w:rFonts w:ascii="Arial" w:hAnsi="Arial" w:cs="Arial"/>
                <w:b/>
                <w:bCs/>
                <w:sz w:val="22"/>
                <w:szCs w:val="22"/>
              </w:rPr>
            </w:pPr>
            <w:r w:rsidRPr="00F33061">
              <w:rPr>
                <w:rFonts w:ascii="Arial" w:hAnsi="Arial" w:cs="Arial"/>
                <w:b/>
                <w:bCs/>
                <w:sz w:val="22"/>
                <w:szCs w:val="22"/>
              </w:rPr>
              <w:t xml:space="preserve">Description of hazardous  and other wastes </w:t>
            </w:r>
          </w:p>
        </w:tc>
      </w:tr>
      <w:tr w:rsidR="00CC5A37" w:rsidRPr="00F33061" w14:paraId="5D125736" w14:textId="77777777" w:rsidTr="00BE0F67">
        <w:trPr>
          <w:trHeight w:val="301"/>
        </w:trPr>
        <w:tc>
          <w:tcPr>
            <w:tcW w:w="1170" w:type="dxa"/>
            <w:shd w:val="clear" w:color="auto" w:fill="auto"/>
          </w:tcPr>
          <w:p w14:paraId="6C141098" w14:textId="77777777" w:rsidR="00CC5A37" w:rsidRPr="00F33061" w:rsidRDefault="00CC5A37" w:rsidP="00BE0F67">
            <w:pPr>
              <w:contextualSpacing/>
              <w:jc w:val="both"/>
              <w:rPr>
                <w:rFonts w:ascii="Arial" w:hAnsi="Arial" w:cs="Arial"/>
                <w:b/>
                <w:bCs/>
                <w:sz w:val="22"/>
                <w:szCs w:val="22"/>
              </w:rPr>
            </w:pPr>
            <w:r w:rsidRPr="00F33061">
              <w:rPr>
                <w:rFonts w:ascii="Arial" w:hAnsi="Arial" w:cs="Arial"/>
                <w:b/>
                <w:bCs/>
                <w:sz w:val="22"/>
                <w:szCs w:val="22"/>
              </w:rPr>
              <w:t>(1)</w:t>
            </w:r>
          </w:p>
        </w:tc>
        <w:tc>
          <w:tcPr>
            <w:tcW w:w="8010" w:type="dxa"/>
            <w:shd w:val="clear" w:color="auto" w:fill="auto"/>
          </w:tcPr>
          <w:p w14:paraId="58CD751A" w14:textId="77777777" w:rsidR="00CC5A37" w:rsidRPr="00F33061" w:rsidRDefault="00CC5A37" w:rsidP="00BE0F67">
            <w:pPr>
              <w:contextualSpacing/>
              <w:jc w:val="both"/>
              <w:rPr>
                <w:rFonts w:ascii="Arial" w:hAnsi="Arial" w:cs="Arial"/>
                <w:b/>
                <w:bCs/>
                <w:sz w:val="22"/>
                <w:szCs w:val="22"/>
              </w:rPr>
            </w:pPr>
            <w:r w:rsidRPr="00F33061">
              <w:rPr>
                <w:rFonts w:ascii="Arial" w:hAnsi="Arial" w:cs="Arial"/>
                <w:b/>
                <w:bCs/>
                <w:sz w:val="22"/>
                <w:szCs w:val="22"/>
              </w:rPr>
              <w:t>(2)</w:t>
            </w:r>
          </w:p>
        </w:tc>
      </w:tr>
      <w:tr w:rsidR="00CC5A37" w:rsidRPr="00F33061" w14:paraId="43246313" w14:textId="77777777" w:rsidTr="00BE0F67">
        <w:trPr>
          <w:trHeight w:val="301"/>
        </w:trPr>
        <w:tc>
          <w:tcPr>
            <w:tcW w:w="1170" w:type="dxa"/>
            <w:shd w:val="clear" w:color="auto" w:fill="auto"/>
          </w:tcPr>
          <w:p w14:paraId="23A89A9F" w14:textId="77777777" w:rsidR="00CC5A37" w:rsidRPr="00F33061" w:rsidRDefault="00CC5A37" w:rsidP="00BE0F67">
            <w:pPr>
              <w:contextualSpacing/>
              <w:jc w:val="both"/>
              <w:rPr>
                <w:rFonts w:ascii="Arial" w:hAnsi="Arial" w:cs="Arial"/>
                <w:b/>
                <w:bCs/>
                <w:sz w:val="22"/>
                <w:szCs w:val="22"/>
              </w:rPr>
            </w:pPr>
            <w:r w:rsidRPr="00F33061">
              <w:rPr>
                <w:rFonts w:ascii="Arial" w:hAnsi="Arial" w:cs="Arial"/>
                <w:b/>
                <w:bCs/>
                <w:sz w:val="22"/>
                <w:szCs w:val="22"/>
              </w:rPr>
              <w:t>A1</w:t>
            </w:r>
          </w:p>
        </w:tc>
        <w:tc>
          <w:tcPr>
            <w:tcW w:w="8010" w:type="dxa"/>
            <w:shd w:val="clear" w:color="auto" w:fill="auto"/>
          </w:tcPr>
          <w:p w14:paraId="16407DBC" w14:textId="77777777" w:rsidR="00CC5A37" w:rsidRPr="00F33061" w:rsidRDefault="00CC5A37" w:rsidP="00BE0F67">
            <w:pPr>
              <w:contextualSpacing/>
              <w:jc w:val="both"/>
              <w:rPr>
                <w:rFonts w:ascii="Arial" w:hAnsi="Arial" w:cs="Arial"/>
                <w:b/>
                <w:bCs/>
                <w:sz w:val="22"/>
                <w:szCs w:val="22"/>
              </w:rPr>
            </w:pPr>
            <w:r w:rsidRPr="00F33061">
              <w:rPr>
                <w:rFonts w:ascii="Arial" w:hAnsi="Arial" w:cs="Arial"/>
                <w:b/>
                <w:bCs/>
                <w:sz w:val="22"/>
                <w:szCs w:val="22"/>
              </w:rPr>
              <w:t xml:space="preserve">Metal and Metal bearing wastes </w:t>
            </w:r>
          </w:p>
        </w:tc>
      </w:tr>
      <w:tr w:rsidR="00CC5A37" w:rsidRPr="00F33061" w14:paraId="47914EA3" w14:textId="77777777" w:rsidTr="00BE0F67">
        <w:trPr>
          <w:trHeight w:val="301"/>
        </w:trPr>
        <w:tc>
          <w:tcPr>
            <w:tcW w:w="1170" w:type="dxa"/>
            <w:vMerge w:val="restart"/>
            <w:shd w:val="clear" w:color="auto" w:fill="auto"/>
          </w:tcPr>
          <w:p w14:paraId="65F99835"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A1010</w:t>
            </w:r>
          </w:p>
        </w:tc>
        <w:tc>
          <w:tcPr>
            <w:tcW w:w="8010" w:type="dxa"/>
            <w:shd w:val="clear" w:color="auto" w:fill="auto"/>
          </w:tcPr>
          <w:p w14:paraId="33510DF5"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Metal wastes and waste consisting of alloys of any of the following but excluding such wastes specifically listed in Part B  and Part D of Schedule III</w:t>
            </w:r>
          </w:p>
        </w:tc>
      </w:tr>
      <w:tr w:rsidR="00CC5A37" w:rsidRPr="00F33061" w14:paraId="0DD079CD" w14:textId="77777777" w:rsidTr="00BE0F67">
        <w:trPr>
          <w:trHeight w:val="301"/>
        </w:trPr>
        <w:tc>
          <w:tcPr>
            <w:tcW w:w="1170" w:type="dxa"/>
            <w:vMerge/>
            <w:shd w:val="clear" w:color="auto" w:fill="auto"/>
          </w:tcPr>
          <w:p w14:paraId="2C82ACDE" w14:textId="77777777" w:rsidR="00CC5A37" w:rsidRPr="00F33061" w:rsidRDefault="00CC5A37" w:rsidP="00BE0F67">
            <w:pPr>
              <w:contextualSpacing/>
              <w:jc w:val="both"/>
              <w:rPr>
                <w:rFonts w:ascii="Arial" w:hAnsi="Arial" w:cs="Arial"/>
                <w:b/>
                <w:bCs/>
                <w:sz w:val="22"/>
                <w:szCs w:val="22"/>
              </w:rPr>
            </w:pPr>
          </w:p>
        </w:tc>
        <w:tc>
          <w:tcPr>
            <w:tcW w:w="8010" w:type="dxa"/>
            <w:shd w:val="clear" w:color="auto" w:fill="auto"/>
          </w:tcPr>
          <w:p w14:paraId="2C2E7879"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Arsenic</w:t>
            </w:r>
          </w:p>
        </w:tc>
      </w:tr>
      <w:tr w:rsidR="00CC5A37" w:rsidRPr="00F33061" w14:paraId="776AC839" w14:textId="77777777" w:rsidTr="00BE0F67">
        <w:trPr>
          <w:trHeight w:val="301"/>
        </w:trPr>
        <w:tc>
          <w:tcPr>
            <w:tcW w:w="1170" w:type="dxa"/>
            <w:vMerge/>
            <w:shd w:val="clear" w:color="auto" w:fill="auto"/>
          </w:tcPr>
          <w:p w14:paraId="11DD57A9" w14:textId="77777777" w:rsidR="00CC5A37" w:rsidRPr="00F33061" w:rsidRDefault="00CC5A37" w:rsidP="00BE0F67">
            <w:pPr>
              <w:contextualSpacing/>
              <w:jc w:val="both"/>
              <w:rPr>
                <w:rFonts w:ascii="Arial" w:hAnsi="Arial" w:cs="Arial"/>
                <w:b/>
                <w:bCs/>
                <w:sz w:val="22"/>
                <w:szCs w:val="22"/>
              </w:rPr>
            </w:pPr>
          </w:p>
        </w:tc>
        <w:tc>
          <w:tcPr>
            <w:tcW w:w="8010" w:type="dxa"/>
            <w:shd w:val="clear" w:color="auto" w:fill="auto"/>
          </w:tcPr>
          <w:p w14:paraId="7378ABFC"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Beryllium</w:t>
            </w:r>
          </w:p>
        </w:tc>
      </w:tr>
      <w:tr w:rsidR="00CC5A37" w:rsidRPr="00F33061" w14:paraId="6F6C0B54" w14:textId="77777777" w:rsidTr="00BE0F67">
        <w:trPr>
          <w:trHeight w:val="301"/>
        </w:trPr>
        <w:tc>
          <w:tcPr>
            <w:tcW w:w="1170" w:type="dxa"/>
            <w:vMerge/>
            <w:shd w:val="clear" w:color="auto" w:fill="auto"/>
          </w:tcPr>
          <w:p w14:paraId="56901F47" w14:textId="77777777" w:rsidR="00CC5A37" w:rsidRPr="00F33061" w:rsidRDefault="00CC5A37" w:rsidP="00BE0F67">
            <w:pPr>
              <w:contextualSpacing/>
              <w:jc w:val="both"/>
              <w:rPr>
                <w:rFonts w:ascii="Arial" w:hAnsi="Arial" w:cs="Arial"/>
                <w:b/>
                <w:bCs/>
                <w:sz w:val="22"/>
                <w:szCs w:val="22"/>
              </w:rPr>
            </w:pPr>
          </w:p>
        </w:tc>
        <w:tc>
          <w:tcPr>
            <w:tcW w:w="8010" w:type="dxa"/>
            <w:shd w:val="clear" w:color="auto" w:fill="auto"/>
          </w:tcPr>
          <w:p w14:paraId="720CC846"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Mercury</w:t>
            </w:r>
          </w:p>
        </w:tc>
      </w:tr>
      <w:tr w:rsidR="00CC5A37" w:rsidRPr="00F33061" w14:paraId="17977077" w14:textId="77777777" w:rsidTr="00BE0F67">
        <w:trPr>
          <w:trHeight w:val="301"/>
        </w:trPr>
        <w:tc>
          <w:tcPr>
            <w:tcW w:w="1170" w:type="dxa"/>
            <w:vMerge/>
            <w:shd w:val="clear" w:color="auto" w:fill="auto"/>
          </w:tcPr>
          <w:p w14:paraId="1EFB96EB" w14:textId="77777777" w:rsidR="00CC5A37" w:rsidRPr="00F33061" w:rsidRDefault="00CC5A37" w:rsidP="00BE0F67">
            <w:pPr>
              <w:contextualSpacing/>
              <w:jc w:val="both"/>
              <w:rPr>
                <w:rFonts w:ascii="Arial" w:hAnsi="Arial" w:cs="Arial"/>
                <w:b/>
                <w:bCs/>
                <w:sz w:val="22"/>
                <w:szCs w:val="22"/>
              </w:rPr>
            </w:pPr>
          </w:p>
        </w:tc>
        <w:tc>
          <w:tcPr>
            <w:tcW w:w="8010" w:type="dxa"/>
            <w:shd w:val="clear" w:color="auto" w:fill="auto"/>
          </w:tcPr>
          <w:p w14:paraId="34D98386"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Selenium</w:t>
            </w:r>
          </w:p>
        </w:tc>
      </w:tr>
      <w:tr w:rsidR="00CC5A37" w:rsidRPr="00F33061" w14:paraId="564DB638" w14:textId="77777777" w:rsidTr="00BE0F67">
        <w:trPr>
          <w:trHeight w:val="301"/>
        </w:trPr>
        <w:tc>
          <w:tcPr>
            <w:tcW w:w="1170" w:type="dxa"/>
            <w:vMerge/>
            <w:shd w:val="clear" w:color="auto" w:fill="auto"/>
          </w:tcPr>
          <w:p w14:paraId="27C25555" w14:textId="77777777" w:rsidR="00CC5A37" w:rsidRPr="00F33061" w:rsidRDefault="00CC5A37" w:rsidP="00BE0F67">
            <w:pPr>
              <w:contextualSpacing/>
              <w:jc w:val="both"/>
              <w:rPr>
                <w:rFonts w:ascii="Arial" w:hAnsi="Arial" w:cs="Arial"/>
                <w:b/>
                <w:bCs/>
                <w:sz w:val="22"/>
                <w:szCs w:val="22"/>
              </w:rPr>
            </w:pPr>
          </w:p>
        </w:tc>
        <w:tc>
          <w:tcPr>
            <w:tcW w:w="8010" w:type="dxa"/>
            <w:shd w:val="clear" w:color="auto" w:fill="auto"/>
          </w:tcPr>
          <w:p w14:paraId="65505805"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Thallium</w:t>
            </w:r>
          </w:p>
        </w:tc>
      </w:tr>
      <w:tr w:rsidR="00CC5A37" w:rsidRPr="00F33061" w14:paraId="566D36E8" w14:textId="77777777" w:rsidTr="00BE0F67">
        <w:trPr>
          <w:trHeight w:val="301"/>
        </w:trPr>
        <w:tc>
          <w:tcPr>
            <w:tcW w:w="1170" w:type="dxa"/>
            <w:vMerge w:val="restart"/>
            <w:shd w:val="clear" w:color="auto" w:fill="auto"/>
          </w:tcPr>
          <w:p w14:paraId="7E546C97"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A1020</w:t>
            </w:r>
          </w:p>
        </w:tc>
        <w:tc>
          <w:tcPr>
            <w:tcW w:w="8010" w:type="dxa"/>
            <w:shd w:val="clear" w:color="auto" w:fill="auto"/>
          </w:tcPr>
          <w:p w14:paraId="07D6CC6D"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Wastes having as constituents or contaminants, excluding metal wastes in massive form, any of the following:</w:t>
            </w:r>
          </w:p>
        </w:tc>
      </w:tr>
      <w:tr w:rsidR="00CC5A37" w:rsidRPr="00F33061" w14:paraId="4EE15D3B" w14:textId="77777777" w:rsidTr="00BE0F67">
        <w:trPr>
          <w:trHeight w:val="301"/>
        </w:trPr>
        <w:tc>
          <w:tcPr>
            <w:tcW w:w="1170" w:type="dxa"/>
            <w:vMerge/>
            <w:shd w:val="clear" w:color="auto" w:fill="auto"/>
          </w:tcPr>
          <w:p w14:paraId="36E03CCC" w14:textId="77777777" w:rsidR="00CC5A37" w:rsidRPr="00F33061" w:rsidRDefault="00CC5A37" w:rsidP="00BE0F67">
            <w:pPr>
              <w:contextualSpacing/>
              <w:jc w:val="both"/>
              <w:rPr>
                <w:rFonts w:ascii="Arial" w:hAnsi="Arial" w:cs="Arial"/>
                <w:sz w:val="22"/>
                <w:szCs w:val="22"/>
              </w:rPr>
            </w:pPr>
          </w:p>
        </w:tc>
        <w:tc>
          <w:tcPr>
            <w:tcW w:w="8010" w:type="dxa"/>
            <w:shd w:val="clear" w:color="auto" w:fill="auto"/>
          </w:tcPr>
          <w:p w14:paraId="538921C5"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Beryllium; beryllium compounds</w:t>
            </w:r>
          </w:p>
        </w:tc>
      </w:tr>
      <w:tr w:rsidR="00CC5A37" w:rsidRPr="00F33061" w14:paraId="1EC4BBDD" w14:textId="77777777" w:rsidTr="00BE0F67">
        <w:trPr>
          <w:trHeight w:val="301"/>
        </w:trPr>
        <w:tc>
          <w:tcPr>
            <w:tcW w:w="1170" w:type="dxa"/>
            <w:vMerge/>
            <w:shd w:val="clear" w:color="auto" w:fill="auto"/>
          </w:tcPr>
          <w:p w14:paraId="36C27208" w14:textId="77777777" w:rsidR="00CC5A37" w:rsidRPr="00F33061" w:rsidRDefault="00CC5A37" w:rsidP="00BE0F67">
            <w:pPr>
              <w:contextualSpacing/>
              <w:jc w:val="both"/>
              <w:rPr>
                <w:rFonts w:ascii="Arial" w:hAnsi="Arial" w:cs="Arial"/>
                <w:sz w:val="22"/>
                <w:szCs w:val="22"/>
              </w:rPr>
            </w:pPr>
          </w:p>
        </w:tc>
        <w:tc>
          <w:tcPr>
            <w:tcW w:w="8010" w:type="dxa"/>
            <w:shd w:val="clear" w:color="auto" w:fill="auto"/>
          </w:tcPr>
          <w:p w14:paraId="5C9D6F53"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Selenium; selenium compounds</w:t>
            </w:r>
          </w:p>
        </w:tc>
      </w:tr>
      <w:tr w:rsidR="00CC5A37" w:rsidRPr="00F33061" w14:paraId="26D5D02D" w14:textId="77777777" w:rsidTr="00BE0F67">
        <w:trPr>
          <w:trHeight w:val="301"/>
        </w:trPr>
        <w:tc>
          <w:tcPr>
            <w:tcW w:w="1170" w:type="dxa"/>
            <w:vMerge w:val="restart"/>
            <w:shd w:val="clear" w:color="auto" w:fill="auto"/>
          </w:tcPr>
          <w:p w14:paraId="7C67D8A9"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A1030</w:t>
            </w:r>
          </w:p>
        </w:tc>
        <w:tc>
          <w:tcPr>
            <w:tcW w:w="8010" w:type="dxa"/>
            <w:shd w:val="clear" w:color="auto" w:fill="auto"/>
          </w:tcPr>
          <w:p w14:paraId="36EFC142"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Wastes having as constituents or contaminants any of the following:</w:t>
            </w:r>
          </w:p>
        </w:tc>
      </w:tr>
      <w:tr w:rsidR="00CC5A37" w:rsidRPr="00F33061" w14:paraId="7D3C4CF6" w14:textId="77777777" w:rsidTr="00BE0F67">
        <w:trPr>
          <w:trHeight w:val="301"/>
        </w:trPr>
        <w:tc>
          <w:tcPr>
            <w:tcW w:w="1170" w:type="dxa"/>
            <w:vMerge/>
            <w:shd w:val="clear" w:color="auto" w:fill="auto"/>
          </w:tcPr>
          <w:p w14:paraId="73A027F6" w14:textId="77777777" w:rsidR="00CC5A37" w:rsidRPr="00F33061" w:rsidRDefault="00CC5A37" w:rsidP="00BE0F67">
            <w:pPr>
              <w:contextualSpacing/>
              <w:jc w:val="both"/>
              <w:rPr>
                <w:rFonts w:ascii="Arial" w:hAnsi="Arial" w:cs="Arial"/>
                <w:b/>
                <w:bCs/>
                <w:sz w:val="22"/>
                <w:szCs w:val="22"/>
              </w:rPr>
            </w:pPr>
          </w:p>
        </w:tc>
        <w:tc>
          <w:tcPr>
            <w:tcW w:w="8010" w:type="dxa"/>
            <w:shd w:val="clear" w:color="auto" w:fill="auto"/>
          </w:tcPr>
          <w:p w14:paraId="6229EB7F"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Arsenic; arsenic compounds</w:t>
            </w:r>
          </w:p>
        </w:tc>
      </w:tr>
      <w:tr w:rsidR="00CC5A37" w:rsidRPr="00F33061" w14:paraId="30E3B0AB" w14:textId="77777777" w:rsidTr="00BE0F67">
        <w:trPr>
          <w:trHeight w:val="318"/>
        </w:trPr>
        <w:tc>
          <w:tcPr>
            <w:tcW w:w="1170" w:type="dxa"/>
            <w:vMerge/>
            <w:shd w:val="clear" w:color="auto" w:fill="auto"/>
          </w:tcPr>
          <w:p w14:paraId="0D6173CE" w14:textId="77777777" w:rsidR="00CC5A37" w:rsidRPr="00F33061" w:rsidRDefault="00CC5A37" w:rsidP="00BE0F67">
            <w:pPr>
              <w:contextualSpacing/>
              <w:jc w:val="both"/>
              <w:rPr>
                <w:rFonts w:ascii="Arial" w:hAnsi="Arial" w:cs="Arial"/>
                <w:b/>
                <w:bCs/>
                <w:sz w:val="22"/>
                <w:szCs w:val="22"/>
              </w:rPr>
            </w:pPr>
          </w:p>
        </w:tc>
        <w:tc>
          <w:tcPr>
            <w:tcW w:w="8010" w:type="dxa"/>
            <w:shd w:val="clear" w:color="auto" w:fill="auto"/>
          </w:tcPr>
          <w:p w14:paraId="6EA451D1"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 Mercury; mercury compounds </w:t>
            </w:r>
          </w:p>
        </w:tc>
      </w:tr>
      <w:tr w:rsidR="00CC5A37" w:rsidRPr="00F33061" w14:paraId="2C291BE5" w14:textId="77777777" w:rsidTr="00BE0F67">
        <w:trPr>
          <w:trHeight w:val="318"/>
        </w:trPr>
        <w:tc>
          <w:tcPr>
            <w:tcW w:w="1170" w:type="dxa"/>
            <w:vMerge/>
            <w:shd w:val="clear" w:color="auto" w:fill="auto"/>
          </w:tcPr>
          <w:p w14:paraId="29FD5FC6" w14:textId="77777777" w:rsidR="00CC5A37" w:rsidRPr="00F33061" w:rsidRDefault="00CC5A37" w:rsidP="00BE0F67">
            <w:pPr>
              <w:contextualSpacing/>
              <w:jc w:val="both"/>
              <w:rPr>
                <w:rFonts w:ascii="Arial" w:hAnsi="Arial" w:cs="Arial"/>
                <w:b/>
                <w:bCs/>
                <w:sz w:val="22"/>
                <w:szCs w:val="22"/>
              </w:rPr>
            </w:pPr>
          </w:p>
        </w:tc>
        <w:tc>
          <w:tcPr>
            <w:tcW w:w="8010" w:type="dxa"/>
            <w:shd w:val="clear" w:color="auto" w:fill="auto"/>
          </w:tcPr>
          <w:p w14:paraId="784FE5A0"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Thallium; thallium compounds</w:t>
            </w:r>
          </w:p>
        </w:tc>
      </w:tr>
      <w:tr w:rsidR="00CC5A37" w:rsidRPr="00F33061" w14:paraId="49EE945C" w14:textId="77777777" w:rsidTr="00BE0F67">
        <w:trPr>
          <w:trHeight w:val="318"/>
        </w:trPr>
        <w:tc>
          <w:tcPr>
            <w:tcW w:w="1170" w:type="dxa"/>
            <w:shd w:val="clear" w:color="auto" w:fill="auto"/>
          </w:tcPr>
          <w:p w14:paraId="401FE1E7"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A1040</w:t>
            </w:r>
          </w:p>
        </w:tc>
        <w:tc>
          <w:tcPr>
            <w:tcW w:w="8010" w:type="dxa"/>
            <w:shd w:val="clear" w:color="auto" w:fill="auto"/>
          </w:tcPr>
          <w:p w14:paraId="222A4039"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Waste having hexavalent chromium compounds as constituents</w:t>
            </w:r>
          </w:p>
        </w:tc>
      </w:tr>
      <w:tr w:rsidR="00CC5A37" w:rsidRPr="00F33061" w14:paraId="1F64268A" w14:textId="77777777" w:rsidTr="00BE0F67">
        <w:trPr>
          <w:trHeight w:val="318"/>
        </w:trPr>
        <w:tc>
          <w:tcPr>
            <w:tcW w:w="1170" w:type="dxa"/>
            <w:shd w:val="clear" w:color="auto" w:fill="auto"/>
          </w:tcPr>
          <w:p w14:paraId="60BE7C77"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A1140</w:t>
            </w:r>
          </w:p>
        </w:tc>
        <w:tc>
          <w:tcPr>
            <w:tcW w:w="8010" w:type="dxa"/>
            <w:shd w:val="clear" w:color="auto" w:fill="auto"/>
          </w:tcPr>
          <w:p w14:paraId="06B9C26B"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Waste cupric chloride and copper cyanide catalysts in liquid form (note the related entry in Part A of Schedule III)</w:t>
            </w:r>
          </w:p>
        </w:tc>
      </w:tr>
      <w:tr w:rsidR="00CC5A37" w:rsidRPr="00F33061" w14:paraId="7D0CB88D" w14:textId="77777777" w:rsidTr="00BE0F67">
        <w:trPr>
          <w:trHeight w:val="318"/>
        </w:trPr>
        <w:tc>
          <w:tcPr>
            <w:tcW w:w="1170" w:type="dxa"/>
            <w:shd w:val="clear" w:color="auto" w:fill="auto"/>
          </w:tcPr>
          <w:p w14:paraId="6027414A"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A1060</w:t>
            </w:r>
          </w:p>
        </w:tc>
        <w:tc>
          <w:tcPr>
            <w:tcW w:w="8010" w:type="dxa"/>
            <w:shd w:val="clear" w:color="auto" w:fill="auto"/>
          </w:tcPr>
          <w:p w14:paraId="5D00A6D2"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Wastes liquors from the pickling of metals </w:t>
            </w:r>
          </w:p>
        </w:tc>
      </w:tr>
      <w:tr w:rsidR="00CC5A37" w:rsidRPr="00F33061" w14:paraId="5EE7466B" w14:textId="77777777" w:rsidTr="00BE0F67">
        <w:trPr>
          <w:trHeight w:val="318"/>
        </w:trPr>
        <w:tc>
          <w:tcPr>
            <w:tcW w:w="1170" w:type="dxa"/>
            <w:shd w:val="clear" w:color="auto" w:fill="auto"/>
          </w:tcPr>
          <w:p w14:paraId="6C10F97F"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A1110</w:t>
            </w:r>
          </w:p>
        </w:tc>
        <w:tc>
          <w:tcPr>
            <w:tcW w:w="8010" w:type="dxa"/>
            <w:shd w:val="clear" w:color="auto" w:fill="auto"/>
          </w:tcPr>
          <w:p w14:paraId="62407C23"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Spent electrolytic solutions from copper electrorefining and electrowinning operations  </w:t>
            </w:r>
          </w:p>
        </w:tc>
      </w:tr>
      <w:tr w:rsidR="00CC5A37" w:rsidRPr="00F33061" w14:paraId="61077E06" w14:textId="77777777" w:rsidTr="00BE0F67">
        <w:trPr>
          <w:trHeight w:val="318"/>
        </w:trPr>
        <w:tc>
          <w:tcPr>
            <w:tcW w:w="1170" w:type="dxa"/>
            <w:shd w:val="clear" w:color="auto" w:fill="auto"/>
          </w:tcPr>
          <w:p w14:paraId="698572CD"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A1130</w:t>
            </w:r>
          </w:p>
        </w:tc>
        <w:tc>
          <w:tcPr>
            <w:tcW w:w="8010" w:type="dxa"/>
            <w:shd w:val="clear" w:color="auto" w:fill="auto"/>
          </w:tcPr>
          <w:p w14:paraId="3F920CF2"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Spent etching solutions containing dissolved copper </w:t>
            </w:r>
          </w:p>
        </w:tc>
      </w:tr>
      <w:tr w:rsidR="00CC5A37" w:rsidRPr="00F33061" w14:paraId="34824014" w14:textId="77777777" w:rsidTr="00BE0F67">
        <w:trPr>
          <w:trHeight w:val="2092"/>
        </w:trPr>
        <w:tc>
          <w:tcPr>
            <w:tcW w:w="1170" w:type="dxa"/>
            <w:shd w:val="clear" w:color="auto" w:fill="auto"/>
          </w:tcPr>
          <w:p w14:paraId="777A8B69" w14:textId="77777777" w:rsidR="00CC5A37" w:rsidRPr="00F33061" w:rsidRDefault="00CC5A37" w:rsidP="00BE0F67">
            <w:pPr>
              <w:contextualSpacing/>
              <w:jc w:val="both"/>
              <w:rPr>
                <w:rFonts w:ascii="Arial" w:hAnsi="Arial" w:cs="Arial"/>
                <w:bCs/>
                <w:sz w:val="22"/>
                <w:szCs w:val="22"/>
              </w:rPr>
            </w:pPr>
            <w:r w:rsidRPr="00F33061">
              <w:rPr>
                <w:rFonts w:ascii="Arial" w:hAnsi="Arial" w:cs="Arial"/>
                <w:bCs/>
                <w:sz w:val="22"/>
                <w:szCs w:val="22"/>
              </w:rPr>
              <w:t>A1180</w:t>
            </w:r>
          </w:p>
        </w:tc>
        <w:tc>
          <w:tcPr>
            <w:tcW w:w="8010" w:type="dxa"/>
            <w:shd w:val="clear" w:color="auto" w:fill="auto"/>
          </w:tcPr>
          <w:p w14:paraId="3343362E"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 electrical and electronic assembles or scrap (does not include scrap assemblies from electric power generation) containing components such as accumulators and other batteries included in Part A of Schedule III, mercury-switches, glass from cathode-ray tubes and other activated glass and PCB-capacitors, or contaminated with Schedule II constituents (e.g. cadmium, mercury, lead, polychlorinated biphenyl) to an extent that they exhibit hazard characteristics indicated in Part C of Schedule III (note the related entry in Part B B1110) </w:t>
            </w:r>
          </w:p>
        </w:tc>
      </w:tr>
      <w:tr w:rsidR="00CC5A37" w:rsidRPr="00F33061" w14:paraId="33F7254E" w14:textId="77777777" w:rsidTr="00BE0F67">
        <w:trPr>
          <w:trHeight w:val="318"/>
        </w:trPr>
        <w:tc>
          <w:tcPr>
            <w:tcW w:w="1170" w:type="dxa"/>
            <w:shd w:val="clear" w:color="auto" w:fill="auto"/>
          </w:tcPr>
          <w:p w14:paraId="03E1100B"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A1190</w:t>
            </w:r>
          </w:p>
        </w:tc>
        <w:tc>
          <w:tcPr>
            <w:tcW w:w="8010" w:type="dxa"/>
            <w:shd w:val="clear" w:color="auto" w:fill="auto"/>
          </w:tcPr>
          <w:p w14:paraId="6C312220"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 metal cables coated or insulated with plastics containing or contaminated with coal tar, PCB, lead, cadmium, other </w:t>
            </w:r>
            <w:proofErr w:type="spellStart"/>
            <w:r w:rsidRPr="00F33061">
              <w:rPr>
                <w:rFonts w:ascii="Arial" w:hAnsi="Arial" w:cs="Arial"/>
                <w:sz w:val="22"/>
                <w:szCs w:val="22"/>
              </w:rPr>
              <w:t>organohalogen</w:t>
            </w:r>
            <w:proofErr w:type="spellEnd"/>
            <w:r w:rsidRPr="00F33061">
              <w:rPr>
                <w:rFonts w:ascii="Arial" w:hAnsi="Arial" w:cs="Arial"/>
                <w:sz w:val="22"/>
                <w:szCs w:val="22"/>
              </w:rPr>
              <w:t xml:space="preserve"> compounds or other constituents as mentioned in Schedule II to the extent that they exhibit hazard characteristics indicated in Part C of Schedule III </w:t>
            </w:r>
          </w:p>
        </w:tc>
      </w:tr>
      <w:tr w:rsidR="00CC5A37" w:rsidRPr="00F33061" w14:paraId="76346752" w14:textId="77777777" w:rsidTr="00BE0F67">
        <w:trPr>
          <w:trHeight w:val="318"/>
        </w:trPr>
        <w:tc>
          <w:tcPr>
            <w:tcW w:w="1170" w:type="dxa"/>
            <w:shd w:val="clear" w:color="auto" w:fill="auto"/>
          </w:tcPr>
          <w:p w14:paraId="2B5EE898" w14:textId="77777777" w:rsidR="00CC5A37" w:rsidRPr="00F33061" w:rsidRDefault="00CC5A37" w:rsidP="00BE0F67">
            <w:pPr>
              <w:contextualSpacing/>
              <w:jc w:val="both"/>
              <w:rPr>
                <w:rFonts w:ascii="Arial" w:hAnsi="Arial" w:cs="Arial"/>
                <w:b/>
                <w:bCs/>
                <w:sz w:val="22"/>
                <w:szCs w:val="22"/>
              </w:rPr>
            </w:pPr>
            <w:r w:rsidRPr="00F33061">
              <w:rPr>
                <w:rFonts w:ascii="Arial" w:hAnsi="Arial" w:cs="Arial"/>
                <w:b/>
                <w:bCs/>
                <w:sz w:val="22"/>
                <w:szCs w:val="22"/>
              </w:rPr>
              <w:t>A2</w:t>
            </w:r>
          </w:p>
        </w:tc>
        <w:tc>
          <w:tcPr>
            <w:tcW w:w="8010" w:type="dxa"/>
            <w:shd w:val="clear" w:color="auto" w:fill="auto"/>
          </w:tcPr>
          <w:p w14:paraId="730DDF17" w14:textId="77777777" w:rsidR="00CC5A37" w:rsidRPr="00F33061" w:rsidRDefault="00CC5A37" w:rsidP="00BE0F67">
            <w:pPr>
              <w:contextualSpacing/>
              <w:jc w:val="both"/>
              <w:rPr>
                <w:rFonts w:ascii="Arial" w:hAnsi="Arial" w:cs="Arial"/>
                <w:b/>
                <w:bCs/>
                <w:sz w:val="22"/>
                <w:szCs w:val="22"/>
              </w:rPr>
            </w:pPr>
            <w:r w:rsidRPr="00F33061">
              <w:rPr>
                <w:rFonts w:ascii="Arial" w:hAnsi="Arial" w:cs="Arial"/>
                <w:b/>
                <w:bCs/>
                <w:sz w:val="22"/>
                <w:szCs w:val="22"/>
              </w:rPr>
              <w:t xml:space="preserve">Wastes containing principally inorganic constituents, which may contain metals and organic materials </w:t>
            </w:r>
          </w:p>
        </w:tc>
      </w:tr>
      <w:tr w:rsidR="00CC5A37" w:rsidRPr="00F33061" w14:paraId="358E02A1" w14:textId="77777777" w:rsidTr="00BE0F67">
        <w:trPr>
          <w:trHeight w:val="318"/>
        </w:trPr>
        <w:tc>
          <w:tcPr>
            <w:tcW w:w="1170" w:type="dxa"/>
            <w:shd w:val="clear" w:color="auto" w:fill="auto"/>
          </w:tcPr>
          <w:p w14:paraId="536C9944"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A2020</w:t>
            </w:r>
          </w:p>
        </w:tc>
        <w:tc>
          <w:tcPr>
            <w:tcW w:w="8010" w:type="dxa"/>
            <w:shd w:val="clear" w:color="auto" w:fill="auto"/>
          </w:tcPr>
          <w:p w14:paraId="0840B5E0"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 inorganic fluorine compounds in the form of liquids or sludges but excluding such wastes specified in Part B </w:t>
            </w:r>
          </w:p>
        </w:tc>
      </w:tr>
    </w:tbl>
    <w:p w14:paraId="2407B36E" w14:textId="77777777" w:rsidR="00CC5A37" w:rsidRPr="00F33061" w:rsidRDefault="00CC5A37" w:rsidP="00CC5A37">
      <w:pPr>
        <w:contextualSpacing/>
        <w:jc w:val="both"/>
        <w:rPr>
          <w:rFonts w:ascii="Arial" w:hAnsi="Arial" w:cs="Arial"/>
          <w:sz w:val="22"/>
          <w:szCs w:val="22"/>
        </w:rPr>
        <w:sectPr w:rsidR="00CC5A37" w:rsidRPr="00F33061" w:rsidSect="00AA0B74">
          <w:pgSz w:w="12240" w:h="15840"/>
          <w:pgMar w:top="994" w:right="1037" w:bottom="1440" w:left="1699"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8010"/>
      </w:tblGrid>
      <w:tr w:rsidR="00CC5A37" w:rsidRPr="00F33061" w14:paraId="78DD9ECE" w14:textId="77777777" w:rsidTr="00BE0F67">
        <w:trPr>
          <w:trHeight w:val="318"/>
          <w:tblHeader/>
        </w:trPr>
        <w:tc>
          <w:tcPr>
            <w:tcW w:w="1170" w:type="dxa"/>
            <w:shd w:val="clear" w:color="auto" w:fill="auto"/>
          </w:tcPr>
          <w:p w14:paraId="567B4DBD" w14:textId="77777777" w:rsidR="00CC5A37" w:rsidRPr="00F33061" w:rsidRDefault="00CC5A37" w:rsidP="00BE0F67">
            <w:pPr>
              <w:contextualSpacing/>
              <w:jc w:val="both"/>
              <w:rPr>
                <w:rFonts w:ascii="Arial" w:hAnsi="Arial" w:cs="Arial"/>
                <w:b/>
                <w:bCs/>
                <w:sz w:val="22"/>
                <w:szCs w:val="22"/>
              </w:rPr>
            </w:pPr>
            <w:r w:rsidRPr="00F33061">
              <w:rPr>
                <w:rFonts w:ascii="Arial" w:hAnsi="Arial" w:cs="Arial"/>
                <w:b/>
                <w:bCs/>
                <w:sz w:val="22"/>
                <w:szCs w:val="22"/>
              </w:rPr>
              <w:lastRenderedPageBreak/>
              <w:t>(1)</w:t>
            </w:r>
          </w:p>
        </w:tc>
        <w:tc>
          <w:tcPr>
            <w:tcW w:w="8010" w:type="dxa"/>
            <w:shd w:val="clear" w:color="auto" w:fill="auto"/>
          </w:tcPr>
          <w:p w14:paraId="53623023" w14:textId="77777777" w:rsidR="00CC5A37" w:rsidRPr="00F33061" w:rsidRDefault="00CC5A37" w:rsidP="00BE0F67">
            <w:pPr>
              <w:contextualSpacing/>
              <w:jc w:val="both"/>
              <w:rPr>
                <w:rFonts w:ascii="Arial" w:hAnsi="Arial" w:cs="Arial"/>
                <w:b/>
                <w:bCs/>
                <w:sz w:val="22"/>
                <w:szCs w:val="22"/>
              </w:rPr>
            </w:pPr>
            <w:r w:rsidRPr="00F33061">
              <w:rPr>
                <w:rFonts w:ascii="Arial" w:hAnsi="Arial" w:cs="Arial"/>
                <w:b/>
                <w:bCs/>
                <w:sz w:val="22"/>
                <w:szCs w:val="22"/>
              </w:rPr>
              <w:t>(2)</w:t>
            </w:r>
          </w:p>
        </w:tc>
      </w:tr>
      <w:tr w:rsidR="00CC5A37" w:rsidRPr="00F33061" w14:paraId="4DC5C277" w14:textId="77777777" w:rsidTr="00BE0F67">
        <w:trPr>
          <w:trHeight w:val="318"/>
        </w:trPr>
        <w:tc>
          <w:tcPr>
            <w:tcW w:w="1170" w:type="dxa"/>
            <w:shd w:val="clear" w:color="auto" w:fill="auto"/>
          </w:tcPr>
          <w:p w14:paraId="69223AD9"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A2040</w:t>
            </w:r>
          </w:p>
        </w:tc>
        <w:tc>
          <w:tcPr>
            <w:tcW w:w="8010" w:type="dxa"/>
            <w:shd w:val="clear" w:color="auto" w:fill="auto"/>
          </w:tcPr>
          <w:p w14:paraId="613873F7"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Waste gypsum arising from chemical industry processes, if it contains any of the constituents mentioned in Schedule 2 to the extent that they exhibit hazard characteristics indicated in Part C of Schedule III (note the related entry in Part B B2080)</w:t>
            </w:r>
          </w:p>
        </w:tc>
      </w:tr>
      <w:tr w:rsidR="00CC5A37" w:rsidRPr="00F33061" w14:paraId="63E2835B" w14:textId="77777777" w:rsidTr="00BE0F67">
        <w:trPr>
          <w:trHeight w:val="318"/>
        </w:trPr>
        <w:tc>
          <w:tcPr>
            <w:tcW w:w="1170" w:type="dxa"/>
            <w:shd w:val="clear" w:color="auto" w:fill="auto"/>
          </w:tcPr>
          <w:p w14:paraId="36C2331C"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A2050</w:t>
            </w:r>
          </w:p>
        </w:tc>
        <w:tc>
          <w:tcPr>
            <w:tcW w:w="8010" w:type="dxa"/>
            <w:shd w:val="clear" w:color="auto" w:fill="auto"/>
          </w:tcPr>
          <w:p w14:paraId="532F97E1"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 asbestos (dusts and fibres) </w:t>
            </w:r>
          </w:p>
        </w:tc>
      </w:tr>
      <w:tr w:rsidR="00CC5A37" w:rsidRPr="00F33061" w14:paraId="07083823" w14:textId="77777777" w:rsidTr="00BE0F67">
        <w:trPr>
          <w:trHeight w:val="318"/>
        </w:trPr>
        <w:tc>
          <w:tcPr>
            <w:tcW w:w="1170" w:type="dxa"/>
            <w:shd w:val="clear" w:color="auto" w:fill="auto"/>
          </w:tcPr>
          <w:p w14:paraId="03D61420"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A2060</w:t>
            </w:r>
          </w:p>
        </w:tc>
        <w:tc>
          <w:tcPr>
            <w:tcW w:w="8010" w:type="dxa"/>
            <w:shd w:val="clear" w:color="auto" w:fill="auto"/>
          </w:tcPr>
          <w:p w14:paraId="46CECFD7" w14:textId="77777777" w:rsidR="00CC5A37" w:rsidRPr="00F33061" w:rsidRDefault="00CC5A37" w:rsidP="00BE0F67">
            <w:pPr>
              <w:tabs>
                <w:tab w:val="left" w:pos="6052"/>
              </w:tabs>
              <w:contextualSpacing/>
              <w:jc w:val="both"/>
              <w:rPr>
                <w:rFonts w:ascii="Arial" w:hAnsi="Arial" w:cs="Arial"/>
                <w:sz w:val="22"/>
                <w:szCs w:val="22"/>
              </w:rPr>
            </w:pPr>
            <w:r w:rsidRPr="00F33061">
              <w:rPr>
                <w:rFonts w:ascii="Arial" w:hAnsi="Arial" w:cs="Arial"/>
                <w:sz w:val="22"/>
                <w:szCs w:val="22"/>
              </w:rPr>
              <w:t>Coal-fired power plant fly-ash containing Schedule II constituents in concentrations sufficient to exhibit Part C characteristics</w:t>
            </w:r>
          </w:p>
        </w:tc>
      </w:tr>
      <w:tr w:rsidR="00CC5A37" w:rsidRPr="00F33061" w14:paraId="66B011A7" w14:textId="77777777" w:rsidTr="00BE0F67">
        <w:trPr>
          <w:trHeight w:val="318"/>
        </w:trPr>
        <w:tc>
          <w:tcPr>
            <w:tcW w:w="1170" w:type="dxa"/>
            <w:shd w:val="clear" w:color="auto" w:fill="auto"/>
          </w:tcPr>
          <w:p w14:paraId="615E3FB3" w14:textId="77777777" w:rsidR="00CC5A37" w:rsidRPr="00F33061" w:rsidRDefault="00CC5A37" w:rsidP="00BE0F67">
            <w:pPr>
              <w:contextualSpacing/>
              <w:jc w:val="both"/>
              <w:rPr>
                <w:rFonts w:ascii="Arial" w:hAnsi="Arial" w:cs="Arial"/>
                <w:b/>
                <w:bCs/>
                <w:sz w:val="22"/>
                <w:szCs w:val="22"/>
              </w:rPr>
            </w:pPr>
            <w:r w:rsidRPr="00F33061">
              <w:rPr>
                <w:rFonts w:ascii="Arial" w:hAnsi="Arial" w:cs="Arial"/>
                <w:b/>
                <w:bCs/>
                <w:sz w:val="22"/>
                <w:szCs w:val="22"/>
              </w:rPr>
              <w:t>A3</w:t>
            </w:r>
          </w:p>
        </w:tc>
        <w:tc>
          <w:tcPr>
            <w:tcW w:w="8010" w:type="dxa"/>
            <w:shd w:val="clear" w:color="auto" w:fill="auto"/>
          </w:tcPr>
          <w:p w14:paraId="77BE9D93" w14:textId="77777777" w:rsidR="00CC5A37" w:rsidRPr="00F33061" w:rsidRDefault="00CC5A37" w:rsidP="00BE0F67">
            <w:pPr>
              <w:contextualSpacing/>
              <w:jc w:val="both"/>
              <w:rPr>
                <w:rFonts w:ascii="Arial" w:hAnsi="Arial" w:cs="Arial"/>
                <w:b/>
                <w:bCs/>
                <w:sz w:val="22"/>
                <w:szCs w:val="22"/>
              </w:rPr>
            </w:pPr>
            <w:r w:rsidRPr="00F33061">
              <w:rPr>
                <w:rFonts w:ascii="Arial" w:hAnsi="Arial" w:cs="Arial"/>
                <w:b/>
                <w:bCs/>
                <w:sz w:val="22"/>
                <w:szCs w:val="22"/>
              </w:rPr>
              <w:t xml:space="preserve">Wastes containing principally organic constituents, which may contain metals and inorganic materials  </w:t>
            </w:r>
          </w:p>
        </w:tc>
      </w:tr>
      <w:tr w:rsidR="00CC5A37" w:rsidRPr="00F33061" w14:paraId="74CA735B" w14:textId="77777777" w:rsidTr="00BE0F67">
        <w:trPr>
          <w:trHeight w:val="318"/>
        </w:trPr>
        <w:tc>
          <w:tcPr>
            <w:tcW w:w="1170" w:type="dxa"/>
            <w:shd w:val="clear" w:color="auto" w:fill="auto"/>
          </w:tcPr>
          <w:p w14:paraId="0BA21A40"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A3030</w:t>
            </w:r>
          </w:p>
        </w:tc>
        <w:tc>
          <w:tcPr>
            <w:tcW w:w="8010" w:type="dxa"/>
            <w:shd w:val="clear" w:color="auto" w:fill="auto"/>
          </w:tcPr>
          <w:p w14:paraId="64D5AFE9"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Wastes that contain, consist of or are contaminated with leaded anti-knock compounds sludges.</w:t>
            </w:r>
          </w:p>
        </w:tc>
      </w:tr>
      <w:tr w:rsidR="00CC5A37" w:rsidRPr="00F33061" w14:paraId="68981C31" w14:textId="77777777" w:rsidTr="00BE0F67">
        <w:trPr>
          <w:trHeight w:val="318"/>
        </w:trPr>
        <w:tc>
          <w:tcPr>
            <w:tcW w:w="1170" w:type="dxa"/>
            <w:shd w:val="clear" w:color="auto" w:fill="auto"/>
          </w:tcPr>
          <w:p w14:paraId="15B8519D"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A3040</w:t>
            </w:r>
          </w:p>
        </w:tc>
        <w:tc>
          <w:tcPr>
            <w:tcW w:w="8010" w:type="dxa"/>
            <w:shd w:val="clear" w:color="auto" w:fill="auto"/>
          </w:tcPr>
          <w:p w14:paraId="5B1FA8B5"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 thermal (heat transfer) fluids </w:t>
            </w:r>
          </w:p>
        </w:tc>
      </w:tr>
      <w:tr w:rsidR="00CC5A37" w:rsidRPr="00F33061" w14:paraId="257F3B8E" w14:textId="77777777" w:rsidTr="00BE0F67">
        <w:trPr>
          <w:trHeight w:val="318"/>
        </w:trPr>
        <w:tc>
          <w:tcPr>
            <w:tcW w:w="1170" w:type="dxa"/>
            <w:shd w:val="clear" w:color="auto" w:fill="auto"/>
          </w:tcPr>
          <w:p w14:paraId="2E7E67FB"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A3060</w:t>
            </w:r>
          </w:p>
        </w:tc>
        <w:tc>
          <w:tcPr>
            <w:tcW w:w="8010" w:type="dxa"/>
            <w:shd w:val="clear" w:color="auto" w:fill="auto"/>
          </w:tcPr>
          <w:p w14:paraId="4267DC67"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 nitrocellulose </w:t>
            </w:r>
          </w:p>
        </w:tc>
      </w:tr>
      <w:tr w:rsidR="00CC5A37" w:rsidRPr="00F33061" w14:paraId="05B526ED" w14:textId="77777777" w:rsidTr="00BE0F67">
        <w:trPr>
          <w:trHeight w:val="318"/>
        </w:trPr>
        <w:tc>
          <w:tcPr>
            <w:tcW w:w="1170" w:type="dxa"/>
            <w:shd w:val="clear" w:color="auto" w:fill="auto"/>
          </w:tcPr>
          <w:p w14:paraId="1D1C6BCA"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A3070</w:t>
            </w:r>
          </w:p>
        </w:tc>
        <w:tc>
          <w:tcPr>
            <w:tcW w:w="8010" w:type="dxa"/>
            <w:shd w:val="clear" w:color="auto" w:fill="auto"/>
          </w:tcPr>
          <w:p w14:paraId="665FD682"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 phenols, phenol compounds including chlorophenol in the form of liquids or sludges </w:t>
            </w:r>
          </w:p>
        </w:tc>
      </w:tr>
      <w:tr w:rsidR="00CC5A37" w:rsidRPr="00F33061" w14:paraId="569DE8AA" w14:textId="77777777" w:rsidTr="00BE0F67">
        <w:trPr>
          <w:trHeight w:val="318"/>
        </w:trPr>
        <w:tc>
          <w:tcPr>
            <w:tcW w:w="1170" w:type="dxa"/>
            <w:shd w:val="clear" w:color="auto" w:fill="auto"/>
          </w:tcPr>
          <w:p w14:paraId="11A30294"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A3080</w:t>
            </w:r>
          </w:p>
        </w:tc>
        <w:tc>
          <w:tcPr>
            <w:tcW w:w="8010" w:type="dxa"/>
            <w:shd w:val="clear" w:color="auto" w:fill="auto"/>
          </w:tcPr>
          <w:p w14:paraId="35A6AF40"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 ethers not including those specified in Part B </w:t>
            </w:r>
          </w:p>
        </w:tc>
      </w:tr>
      <w:tr w:rsidR="00CC5A37" w:rsidRPr="00F33061" w14:paraId="364F9DD7" w14:textId="77777777" w:rsidTr="00BE0F67">
        <w:trPr>
          <w:trHeight w:val="318"/>
        </w:trPr>
        <w:tc>
          <w:tcPr>
            <w:tcW w:w="1170" w:type="dxa"/>
            <w:shd w:val="clear" w:color="auto" w:fill="auto"/>
          </w:tcPr>
          <w:p w14:paraId="02F3A75D"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A3090</w:t>
            </w:r>
          </w:p>
        </w:tc>
        <w:tc>
          <w:tcPr>
            <w:tcW w:w="8010" w:type="dxa"/>
            <w:shd w:val="clear" w:color="auto" w:fill="auto"/>
          </w:tcPr>
          <w:p w14:paraId="586859F3"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Waste leather dust, ash, sludges and flours when containing hexavalent chromium compounds or biocides (note the related entry in Part B B3100)</w:t>
            </w:r>
          </w:p>
        </w:tc>
      </w:tr>
      <w:tr w:rsidR="00CC5A37" w:rsidRPr="00F33061" w14:paraId="3F4D6265" w14:textId="77777777" w:rsidTr="00BE0F67">
        <w:trPr>
          <w:trHeight w:val="318"/>
        </w:trPr>
        <w:tc>
          <w:tcPr>
            <w:tcW w:w="1170" w:type="dxa"/>
            <w:shd w:val="clear" w:color="auto" w:fill="auto"/>
          </w:tcPr>
          <w:p w14:paraId="2767146D"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A3100</w:t>
            </w:r>
          </w:p>
        </w:tc>
        <w:tc>
          <w:tcPr>
            <w:tcW w:w="8010" w:type="dxa"/>
            <w:shd w:val="clear" w:color="auto" w:fill="auto"/>
          </w:tcPr>
          <w:p w14:paraId="388772D7"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Waste paring and other waste of leather or of composition leather not suitable for the manufacture of leather articles, containing hexavalent chromium compound and biocides (note the related entry in Part B B3090)</w:t>
            </w:r>
          </w:p>
        </w:tc>
      </w:tr>
      <w:tr w:rsidR="00CC5A37" w:rsidRPr="00F33061" w14:paraId="3754E22F" w14:textId="77777777" w:rsidTr="00BE0F67">
        <w:trPr>
          <w:trHeight w:val="318"/>
        </w:trPr>
        <w:tc>
          <w:tcPr>
            <w:tcW w:w="1170" w:type="dxa"/>
            <w:shd w:val="clear" w:color="auto" w:fill="auto"/>
          </w:tcPr>
          <w:p w14:paraId="16C490B0"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A3110</w:t>
            </w:r>
          </w:p>
        </w:tc>
        <w:tc>
          <w:tcPr>
            <w:tcW w:w="8010" w:type="dxa"/>
            <w:shd w:val="clear" w:color="auto" w:fill="auto"/>
          </w:tcPr>
          <w:p w14:paraId="0DEF7B2B"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Fellmongery wastes containing hexavalent chromium compounds or biocides or infectious substances (note the related entry in Part B B3110)</w:t>
            </w:r>
          </w:p>
        </w:tc>
      </w:tr>
      <w:tr w:rsidR="00CC5A37" w:rsidRPr="00F33061" w14:paraId="192ECE36" w14:textId="77777777" w:rsidTr="00BE0F67">
        <w:trPr>
          <w:trHeight w:val="318"/>
        </w:trPr>
        <w:tc>
          <w:tcPr>
            <w:tcW w:w="1170" w:type="dxa"/>
            <w:shd w:val="clear" w:color="auto" w:fill="auto"/>
          </w:tcPr>
          <w:p w14:paraId="4E75FC71"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A3140</w:t>
            </w:r>
          </w:p>
        </w:tc>
        <w:tc>
          <w:tcPr>
            <w:tcW w:w="8010" w:type="dxa"/>
            <w:shd w:val="clear" w:color="auto" w:fill="auto"/>
          </w:tcPr>
          <w:p w14:paraId="1F624CF3"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 non-halogenated organic solvents but excluding such wastes specified in Part B </w:t>
            </w:r>
          </w:p>
        </w:tc>
      </w:tr>
      <w:tr w:rsidR="00CC5A37" w:rsidRPr="00F33061" w14:paraId="7FAA2BB9" w14:textId="77777777" w:rsidTr="00BE0F67">
        <w:trPr>
          <w:trHeight w:val="318"/>
        </w:trPr>
        <w:tc>
          <w:tcPr>
            <w:tcW w:w="1170" w:type="dxa"/>
            <w:shd w:val="clear" w:color="auto" w:fill="auto"/>
          </w:tcPr>
          <w:p w14:paraId="33A9AF7B"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A3150</w:t>
            </w:r>
          </w:p>
        </w:tc>
        <w:tc>
          <w:tcPr>
            <w:tcW w:w="8010" w:type="dxa"/>
            <w:shd w:val="clear" w:color="auto" w:fill="auto"/>
          </w:tcPr>
          <w:p w14:paraId="0FBDCE90"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 halogenated organic solvents </w:t>
            </w:r>
          </w:p>
        </w:tc>
      </w:tr>
      <w:tr w:rsidR="00CC5A37" w:rsidRPr="00F33061" w14:paraId="2B4F6166" w14:textId="77777777" w:rsidTr="00BE0F67">
        <w:trPr>
          <w:trHeight w:val="318"/>
        </w:trPr>
        <w:tc>
          <w:tcPr>
            <w:tcW w:w="1170" w:type="dxa"/>
            <w:shd w:val="clear" w:color="auto" w:fill="auto"/>
          </w:tcPr>
          <w:p w14:paraId="3E5C4800"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A3160</w:t>
            </w:r>
          </w:p>
        </w:tc>
        <w:tc>
          <w:tcPr>
            <w:tcW w:w="8010" w:type="dxa"/>
            <w:shd w:val="clear" w:color="auto" w:fill="auto"/>
          </w:tcPr>
          <w:p w14:paraId="75430223"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 halogenated or </w:t>
            </w:r>
            <w:proofErr w:type="spellStart"/>
            <w:r w:rsidRPr="00F33061">
              <w:rPr>
                <w:rFonts w:ascii="Arial" w:hAnsi="Arial" w:cs="Arial"/>
                <w:sz w:val="22"/>
                <w:szCs w:val="22"/>
              </w:rPr>
              <w:t>unhalogenated</w:t>
            </w:r>
            <w:proofErr w:type="spellEnd"/>
            <w:r w:rsidRPr="00F33061">
              <w:rPr>
                <w:rFonts w:ascii="Arial" w:hAnsi="Arial" w:cs="Arial"/>
                <w:sz w:val="22"/>
                <w:szCs w:val="22"/>
              </w:rPr>
              <w:t xml:space="preserve"> non-aqueous distillation residues arising from organic solvent recovery operations </w:t>
            </w:r>
          </w:p>
          <w:p w14:paraId="26B5E643" w14:textId="77777777" w:rsidR="00CC5A37" w:rsidRPr="00F33061" w:rsidRDefault="00CC5A37" w:rsidP="00BE0F67">
            <w:pPr>
              <w:contextualSpacing/>
              <w:jc w:val="both"/>
              <w:rPr>
                <w:rFonts w:ascii="Arial" w:hAnsi="Arial" w:cs="Arial"/>
                <w:sz w:val="22"/>
                <w:szCs w:val="22"/>
              </w:rPr>
            </w:pPr>
          </w:p>
        </w:tc>
      </w:tr>
      <w:tr w:rsidR="00CC5A37" w:rsidRPr="00F33061" w14:paraId="21123915" w14:textId="77777777" w:rsidTr="00BE0F67">
        <w:trPr>
          <w:trHeight w:val="318"/>
        </w:trPr>
        <w:tc>
          <w:tcPr>
            <w:tcW w:w="1170" w:type="dxa"/>
            <w:shd w:val="clear" w:color="auto" w:fill="auto"/>
          </w:tcPr>
          <w:p w14:paraId="1F583D5B"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A3170</w:t>
            </w:r>
          </w:p>
        </w:tc>
        <w:tc>
          <w:tcPr>
            <w:tcW w:w="8010" w:type="dxa"/>
            <w:shd w:val="clear" w:color="auto" w:fill="auto"/>
          </w:tcPr>
          <w:p w14:paraId="1736817C"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 arising from the production of aliphatic halogenated hydrocarbons (such as chloromethane, dichloro-ethane, vinyl chloride, vinylidene chloride, allyl chloride and </w:t>
            </w:r>
            <w:proofErr w:type="spellStart"/>
            <w:r w:rsidRPr="00F33061">
              <w:rPr>
                <w:rFonts w:ascii="Arial" w:hAnsi="Arial" w:cs="Arial"/>
                <w:sz w:val="22"/>
                <w:szCs w:val="22"/>
              </w:rPr>
              <w:t>epichlorhydrin</w:t>
            </w:r>
            <w:proofErr w:type="spellEnd"/>
            <w:r w:rsidRPr="00F33061">
              <w:rPr>
                <w:rFonts w:ascii="Arial" w:hAnsi="Arial" w:cs="Arial"/>
                <w:sz w:val="22"/>
                <w:szCs w:val="22"/>
              </w:rPr>
              <w:t xml:space="preserve">) </w:t>
            </w:r>
          </w:p>
        </w:tc>
      </w:tr>
      <w:tr w:rsidR="00CC5A37" w:rsidRPr="00F33061" w14:paraId="3B186C24" w14:textId="77777777" w:rsidTr="00BE0F67">
        <w:trPr>
          <w:trHeight w:val="318"/>
        </w:trPr>
        <w:tc>
          <w:tcPr>
            <w:tcW w:w="1170" w:type="dxa"/>
            <w:shd w:val="clear" w:color="auto" w:fill="auto"/>
          </w:tcPr>
          <w:p w14:paraId="53249599"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A3180</w:t>
            </w:r>
          </w:p>
        </w:tc>
        <w:tc>
          <w:tcPr>
            <w:tcW w:w="8010" w:type="dxa"/>
            <w:shd w:val="clear" w:color="auto" w:fill="auto"/>
          </w:tcPr>
          <w:p w14:paraId="3D8BE68C"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Wastes, substances and articles containing, consisting of or contaminated with polychlorinated biphenyl (PCB), polychlorinated terphenyl (PCT), polychlorinated naphthalene (PCN) or polybrominated biphenyl (PBB) or any other polybrominated analogues of these compounds </w:t>
            </w:r>
          </w:p>
        </w:tc>
      </w:tr>
      <w:tr w:rsidR="00CC5A37" w:rsidRPr="00F33061" w14:paraId="67DB7AA5" w14:textId="77777777" w:rsidTr="00BE0F67">
        <w:trPr>
          <w:trHeight w:val="318"/>
        </w:trPr>
        <w:tc>
          <w:tcPr>
            <w:tcW w:w="1170" w:type="dxa"/>
            <w:shd w:val="clear" w:color="auto" w:fill="auto"/>
          </w:tcPr>
          <w:p w14:paraId="32F96E68"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A3190</w:t>
            </w:r>
          </w:p>
        </w:tc>
        <w:tc>
          <w:tcPr>
            <w:tcW w:w="8010" w:type="dxa"/>
            <w:shd w:val="clear" w:color="auto" w:fill="auto"/>
          </w:tcPr>
          <w:p w14:paraId="260D50A4"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 tarry residues (excluding asphalt cements) arising from refining, distillation and any pyrolytic treatment of organic materials  </w:t>
            </w:r>
          </w:p>
        </w:tc>
      </w:tr>
      <w:tr w:rsidR="00CC5A37" w:rsidRPr="00F33061" w14:paraId="409BAF30" w14:textId="77777777" w:rsidTr="00BE0F67">
        <w:trPr>
          <w:trHeight w:val="318"/>
        </w:trPr>
        <w:tc>
          <w:tcPr>
            <w:tcW w:w="1170" w:type="dxa"/>
            <w:shd w:val="clear" w:color="auto" w:fill="auto"/>
          </w:tcPr>
          <w:p w14:paraId="69FCE853"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A3200</w:t>
            </w:r>
          </w:p>
        </w:tc>
        <w:tc>
          <w:tcPr>
            <w:tcW w:w="8010" w:type="dxa"/>
            <w:shd w:val="clear" w:color="auto" w:fill="auto"/>
          </w:tcPr>
          <w:p w14:paraId="2669B6EF"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Bituminous material (asphalt waste) from road construction and maintenance, containing tar (note the related entry in Part B, B2130)</w:t>
            </w:r>
          </w:p>
        </w:tc>
      </w:tr>
      <w:tr w:rsidR="00CC5A37" w:rsidRPr="00F33061" w14:paraId="48C071FB" w14:textId="77777777" w:rsidTr="00BE0F67">
        <w:trPr>
          <w:trHeight w:val="318"/>
        </w:trPr>
        <w:tc>
          <w:tcPr>
            <w:tcW w:w="1170" w:type="dxa"/>
            <w:shd w:val="clear" w:color="auto" w:fill="auto"/>
          </w:tcPr>
          <w:p w14:paraId="2F9C9F67" w14:textId="77777777" w:rsidR="00CC5A37" w:rsidRPr="00F33061" w:rsidRDefault="00CC5A37" w:rsidP="00BE0F67">
            <w:pPr>
              <w:contextualSpacing/>
              <w:jc w:val="both"/>
              <w:rPr>
                <w:rFonts w:ascii="Arial" w:hAnsi="Arial" w:cs="Arial"/>
                <w:b/>
                <w:bCs/>
                <w:sz w:val="22"/>
                <w:szCs w:val="22"/>
              </w:rPr>
            </w:pPr>
            <w:r w:rsidRPr="00F33061">
              <w:rPr>
                <w:rFonts w:ascii="Arial" w:hAnsi="Arial" w:cs="Arial"/>
                <w:b/>
                <w:bCs/>
                <w:sz w:val="22"/>
                <w:szCs w:val="22"/>
              </w:rPr>
              <w:t>A4</w:t>
            </w:r>
          </w:p>
        </w:tc>
        <w:tc>
          <w:tcPr>
            <w:tcW w:w="8010" w:type="dxa"/>
            <w:shd w:val="clear" w:color="auto" w:fill="auto"/>
          </w:tcPr>
          <w:p w14:paraId="269BF987" w14:textId="77777777" w:rsidR="00CC5A37" w:rsidRPr="00F33061" w:rsidRDefault="00CC5A37" w:rsidP="00BE0F67">
            <w:pPr>
              <w:contextualSpacing/>
              <w:jc w:val="both"/>
              <w:rPr>
                <w:rFonts w:ascii="Arial" w:hAnsi="Arial" w:cs="Arial"/>
                <w:b/>
                <w:bCs/>
                <w:sz w:val="22"/>
                <w:szCs w:val="22"/>
              </w:rPr>
            </w:pPr>
            <w:r w:rsidRPr="00F33061">
              <w:rPr>
                <w:rFonts w:ascii="Arial" w:hAnsi="Arial" w:cs="Arial"/>
                <w:b/>
                <w:bCs/>
                <w:sz w:val="22"/>
                <w:szCs w:val="22"/>
              </w:rPr>
              <w:t xml:space="preserve">Wastes which may contain either inorganic or organic constituents </w:t>
            </w:r>
          </w:p>
        </w:tc>
      </w:tr>
      <w:tr w:rsidR="00CC5A37" w:rsidRPr="00F33061" w14:paraId="4ED68C55" w14:textId="77777777" w:rsidTr="00BE0F67">
        <w:trPr>
          <w:trHeight w:val="318"/>
        </w:trPr>
        <w:tc>
          <w:tcPr>
            <w:tcW w:w="1170" w:type="dxa"/>
            <w:shd w:val="clear" w:color="auto" w:fill="auto"/>
          </w:tcPr>
          <w:p w14:paraId="19E17E08"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A4020</w:t>
            </w:r>
          </w:p>
        </w:tc>
        <w:tc>
          <w:tcPr>
            <w:tcW w:w="8010" w:type="dxa"/>
            <w:shd w:val="clear" w:color="auto" w:fill="auto"/>
          </w:tcPr>
          <w:p w14:paraId="7AACB632"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Clinical and related wastes; that is wastes arising from medical, nursing, dental, veterinary, or similar practices, and wastes generated in hospitals or other facilities during the investigation or treatment of patients, or research projects. </w:t>
            </w:r>
          </w:p>
        </w:tc>
      </w:tr>
      <w:tr w:rsidR="00CC5A37" w:rsidRPr="00F33061" w14:paraId="007D17F0" w14:textId="77777777" w:rsidTr="00BE0F67">
        <w:trPr>
          <w:trHeight w:val="318"/>
        </w:trPr>
        <w:tc>
          <w:tcPr>
            <w:tcW w:w="1170" w:type="dxa"/>
            <w:shd w:val="clear" w:color="auto" w:fill="auto"/>
          </w:tcPr>
          <w:p w14:paraId="17D26F93"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A4030</w:t>
            </w:r>
          </w:p>
        </w:tc>
        <w:tc>
          <w:tcPr>
            <w:tcW w:w="8010" w:type="dxa"/>
            <w:shd w:val="clear" w:color="auto" w:fill="auto"/>
          </w:tcPr>
          <w:p w14:paraId="7F0F13F2"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 from the production, formulation and use of biocide and </w:t>
            </w:r>
            <w:proofErr w:type="spellStart"/>
            <w:r w:rsidRPr="00F33061">
              <w:rPr>
                <w:rFonts w:ascii="Arial" w:hAnsi="Arial" w:cs="Arial"/>
                <w:sz w:val="22"/>
                <w:szCs w:val="22"/>
              </w:rPr>
              <w:t>phyto</w:t>
            </w:r>
            <w:proofErr w:type="spellEnd"/>
            <w:r w:rsidRPr="00F33061">
              <w:rPr>
                <w:rFonts w:ascii="Arial" w:hAnsi="Arial" w:cs="Arial"/>
                <w:sz w:val="22"/>
                <w:szCs w:val="22"/>
              </w:rPr>
              <w:t xml:space="preserve">-pharmaceuticals, including waste pesticides and herbicides which are off-specification, out-dated (unused within the period recommended by the manufacturer), or unfit for their originally intended use, </w:t>
            </w:r>
          </w:p>
        </w:tc>
      </w:tr>
      <w:tr w:rsidR="00CC5A37" w:rsidRPr="00F33061" w14:paraId="31BE205F" w14:textId="77777777" w:rsidTr="00BE0F67">
        <w:trPr>
          <w:trHeight w:val="318"/>
        </w:trPr>
        <w:tc>
          <w:tcPr>
            <w:tcW w:w="1170" w:type="dxa"/>
            <w:shd w:val="clear" w:color="auto" w:fill="auto"/>
          </w:tcPr>
          <w:p w14:paraId="5A0C10C0"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lastRenderedPageBreak/>
              <w:t>A4050</w:t>
            </w:r>
          </w:p>
        </w:tc>
        <w:tc>
          <w:tcPr>
            <w:tcW w:w="8010" w:type="dxa"/>
            <w:shd w:val="clear" w:color="auto" w:fill="auto"/>
          </w:tcPr>
          <w:p w14:paraId="1BEB894B"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Wastes that contain, consist of, or are contaminated with any of the following:</w:t>
            </w:r>
          </w:p>
          <w:p w14:paraId="35FEC4A2" w14:textId="77777777" w:rsidR="00CC5A37" w:rsidRPr="00F33061" w:rsidRDefault="00CC5A37" w:rsidP="00CC5A37">
            <w:pPr>
              <w:numPr>
                <w:ilvl w:val="0"/>
                <w:numId w:val="2"/>
              </w:numPr>
              <w:contextualSpacing/>
              <w:jc w:val="both"/>
              <w:rPr>
                <w:rFonts w:ascii="Arial" w:hAnsi="Arial" w:cs="Arial"/>
                <w:sz w:val="22"/>
                <w:szCs w:val="22"/>
              </w:rPr>
            </w:pPr>
            <w:r w:rsidRPr="00F33061">
              <w:rPr>
                <w:rFonts w:ascii="Arial" w:hAnsi="Arial" w:cs="Arial"/>
                <w:sz w:val="22"/>
                <w:szCs w:val="22"/>
              </w:rPr>
              <w:t xml:space="preserve">Inorganic cyanides, excepting precious-metal-bearing residues in solid form containing traces of inorganic cyanides. </w:t>
            </w:r>
          </w:p>
          <w:p w14:paraId="09CA5226" w14:textId="77777777" w:rsidR="00CC5A37" w:rsidRPr="00F33061" w:rsidRDefault="00CC5A37" w:rsidP="00CC5A37">
            <w:pPr>
              <w:numPr>
                <w:ilvl w:val="0"/>
                <w:numId w:val="2"/>
              </w:numPr>
              <w:contextualSpacing/>
              <w:jc w:val="both"/>
              <w:rPr>
                <w:rFonts w:ascii="Arial" w:hAnsi="Arial" w:cs="Arial"/>
                <w:sz w:val="22"/>
                <w:szCs w:val="22"/>
              </w:rPr>
            </w:pPr>
            <w:r w:rsidRPr="00F33061">
              <w:rPr>
                <w:rFonts w:ascii="Arial" w:hAnsi="Arial" w:cs="Arial"/>
                <w:sz w:val="22"/>
                <w:szCs w:val="22"/>
              </w:rPr>
              <w:t xml:space="preserve">Organic cyanides </w:t>
            </w:r>
          </w:p>
        </w:tc>
      </w:tr>
      <w:tr w:rsidR="00CC5A37" w:rsidRPr="00F33061" w14:paraId="2BDA0FA8" w14:textId="77777777" w:rsidTr="00BE0F67">
        <w:trPr>
          <w:trHeight w:val="318"/>
        </w:trPr>
        <w:tc>
          <w:tcPr>
            <w:tcW w:w="1170" w:type="dxa"/>
            <w:shd w:val="clear" w:color="auto" w:fill="auto"/>
          </w:tcPr>
          <w:p w14:paraId="65ECA890"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A4060</w:t>
            </w:r>
          </w:p>
        </w:tc>
        <w:tc>
          <w:tcPr>
            <w:tcW w:w="8010" w:type="dxa"/>
            <w:shd w:val="clear" w:color="auto" w:fill="auto"/>
          </w:tcPr>
          <w:p w14:paraId="430B842A"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 oils/water, hydrocarbons/water mixtures, emulsions </w:t>
            </w:r>
          </w:p>
        </w:tc>
      </w:tr>
      <w:tr w:rsidR="00CC5A37" w:rsidRPr="00F33061" w14:paraId="5116C78A" w14:textId="77777777" w:rsidTr="00BE0F67">
        <w:trPr>
          <w:trHeight w:val="318"/>
        </w:trPr>
        <w:tc>
          <w:tcPr>
            <w:tcW w:w="1170" w:type="dxa"/>
            <w:shd w:val="clear" w:color="auto" w:fill="auto"/>
          </w:tcPr>
          <w:p w14:paraId="6797760C"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A4080</w:t>
            </w:r>
          </w:p>
        </w:tc>
        <w:tc>
          <w:tcPr>
            <w:tcW w:w="8010" w:type="dxa"/>
            <w:shd w:val="clear" w:color="auto" w:fill="auto"/>
          </w:tcPr>
          <w:p w14:paraId="38989848"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Wastes of an explosive nature (but excluding such wastes specified in Part B) </w:t>
            </w:r>
          </w:p>
        </w:tc>
      </w:tr>
      <w:tr w:rsidR="00CC5A37" w:rsidRPr="00F33061" w14:paraId="0A4A383B" w14:textId="77777777" w:rsidTr="00BE0F67">
        <w:trPr>
          <w:trHeight w:val="318"/>
        </w:trPr>
        <w:tc>
          <w:tcPr>
            <w:tcW w:w="1170" w:type="dxa"/>
            <w:shd w:val="clear" w:color="auto" w:fill="auto"/>
          </w:tcPr>
          <w:p w14:paraId="71F1DA9D"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A4090</w:t>
            </w:r>
          </w:p>
        </w:tc>
        <w:tc>
          <w:tcPr>
            <w:tcW w:w="8010" w:type="dxa"/>
            <w:shd w:val="clear" w:color="auto" w:fill="auto"/>
          </w:tcPr>
          <w:p w14:paraId="665C9EF0"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 acidic or basic solutions, other than those specified at B2120 of this Schedule </w:t>
            </w:r>
          </w:p>
        </w:tc>
      </w:tr>
      <w:tr w:rsidR="00CC5A37" w:rsidRPr="00F33061" w14:paraId="18A038FE" w14:textId="77777777" w:rsidTr="00BE0F67">
        <w:trPr>
          <w:trHeight w:val="318"/>
        </w:trPr>
        <w:tc>
          <w:tcPr>
            <w:tcW w:w="1170" w:type="dxa"/>
            <w:shd w:val="clear" w:color="auto" w:fill="auto"/>
          </w:tcPr>
          <w:p w14:paraId="5C5BD725"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A4110</w:t>
            </w:r>
          </w:p>
        </w:tc>
        <w:tc>
          <w:tcPr>
            <w:tcW w:w="8010" w:type="dxa"/>
            <w:shd w:val="clear" w:color="auto" w:fill="auto"/>
          </w:tcPr>
          <w:p w14:paraId="4A598A9F"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Wastes that contain, consist of or are contaminated with any of the following:</w:t>
            </w:r>
          </w:p>
          <w:p w14:paraId="6827C9FB" w14:textId="77777777" w:rsidR="00CC5A37" w:rsidRPr="00F33061" w:rsidRDefault="00CC5A37" w:rsidP="00CC5A37">
            <w:pPr>
              <w:numPr>
                <w:ilvl w:val="0"/>
                <w:numId w:val="2"/>
              </w:numPr>
              <w:contextualSpacing/>
              <w:jc w:val="both"/>
              <w:rPr>
                <w:rFonts w:ascii="Arial" w:hAnsi="Arial" w:cs="Arial"/>
                <w:sz w:val="22"/>
                <w:szCs w:val="22"/>
              </w:rPr>
            </w:pPr>
            <w:r w:rsidRPr="00F33061">
              <w:rPr>
                <w:rFonts w:ascii="Arial" w:hAnsi="Arial" w:cs="Arial"/>
                <w:sz w:val="22"/>
                <w:szCs w:val="22"/>
              </w:rPr>
              <w:t xml:space="preserve">Any </w:t>
            </w:r>
            <w:proofErr w:type="spellStart"/>
            <w:r w:rsidRPr="00F33061">
              <w:rPr>
                <w:rFonts w:ascii="Arial" w:hAnsi="Arial" w:cs="Arial"/>
                <w:sz w:val="22"/>
                <w:szCs w:val="22"/>
              </w:rPr>
              <w:t>congenor</w:t>
            </w:r>
            <w:proofErr w:type="spellEnd"/>
            <w:r w:rsidRPr="00F33061">
              <w:rPr>
                <w:rFonts w:ascii="Arial" w:hAnsi="Arial" w:cs="Arial"/>
                <w:sz w:val="22"/>
                <w:szCs w:val="22"/>
              </w:rPr>
              <w:t xml:space="preserve"> of polychlorinated dibenzo-furan. </w:t>
            </w:r>
          </w:p>
          <w:p w14:paraId="597C8251" w14:textId="77777777" w:rsidR="00CC5A37" w:rsidRPr="00F33061" w:rsidRDefault="00CC5A37" w:rsidP="00CC5A37">
            <w:pPr>
              <w:numPr>
                <w:ilvl w:val="0"/>
                <w:numId w:val="2"/>
              </w:numPr>
              <w:contextualSpacing/>
              <w:jc w:val="both"/>
              <w:rPr>
                <w:rFonts w:ascii="Arial" w:hAnsi="Arial" w:cs="Arial"/>
                <w:sz w:val="22"/>
                <w:szCs w:val="22"/>
              </w:rPr>
            </w:pPr>
            <w:r w:rsidRPr="00F33061">
              <w:rPr>
                <w:rFonts w:ascii="Arial" w:hAnsi="Arial" w:cs="Arial"/>
                <w:sz w:val="22"/>
                <w:szCs w:val="22"/>
              </w:rPr>
              <w:t xml:space="preserve">Any </w:t>
            </w:r>
            <w:proofErr w:type="spellStart"/>
            <w:r w:rsidRPr="00F33061">
              <w:rPr>
                <w:rFonts w:ascii="Arial" w:hAnsi="Arial" w:cs="Arial"/>
                <w:sz w:val="22"/>
                <w:szCs w:val="22"/>
              </w:rPr>
              <w:t>congenor</w:t>
            </w:r>
            <w:proofErr w:type="spellEnd"/>
            <w:r w:rsidRPr="00F33061">
              <w:rPr>
                <w:rFonts w:ascii="Arial" w:hAnsi="Arial" w:cs="Arial"/>
                <w:sz w:val="22"/>
                <w:szCs w:val="22"/>
              </w:rPr>
              <w:t xml:space="preserve"> of polychlorinated dibenzo-P-dioxin. </w:t>
            </w:r>
          </w:p>
        </w:tc>
      </w:tr>
      <w:tr w:rsidR="00CC5A37" w:rsidRPr="00F33061" w14:paraId="0562A499" w14:textId="77777777" w:rsidTr="00BE0F67">
        <w:trPr>
          <w:trHeight w:val="318"/>
        </w:trPr>
        <w:tc>
          <w:tcPr>
            <w:tcW w:w="1170" w:type="dxa"/>
            <w:shd w:val="clear" w:color="auto" w:fill="auto"/>
          </w:tcPr>
          <w:p w14:paraId="55B71A66"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A4150</w:t>
            </w:r>
          </w:p>
        </w:tc>
        <w:tc>
          <w:tcPr>
            <w:tcW w:w="8010" w:type="dxa"/>
            <w:shd w:val="clear" w:color="auto" w:fill="auto"/>
          </w:tcPr>
          <w:p w14:paraId="6C7CA8BF"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Waste chemical substances arising from research and development or teaching activities which are not identified and /or are new and whose effects on human health and /or the environment are not known </w:t>
            </w:r>
          </w:p>
        </w:tc>
      </w:tr>
      <w:tr w:rsidR="00CC5A37" w:rsidRPr="00F33061" w14:paraId="23D75B55" w14:textId="77777777" w:rsidTr="00BE0F67">
        <w:trPr>
          <w:trHeight w:val="318"/>
        </w:trPr>
        <w:tc>
          <w:tcPr>
            <w:tcW w:w="1170" w:type="dxa"/>
            <w:shd w:val="clear" w:color="auto" w:fill="auto"/>
          </w:tcPr>
          <w:p w14:paraId="345122C7" w14:textId="77777777" w:rsidR="00CC5A37" w:rsidRPr="00F33061" w:rsidRDefault="00CC5A37" w:rsidP="00BE0F67">
            <w:pPr>
              <w:contextualSpacing/>
              <w:jc w:val="both"/>
              <w:rPr>
                <w:rFonts w:ascii="Arial" w:hAnsi="Arial" w:cs="Arial"/>
                <w:b/>
                <w:bCs/>
                <w:sz w:val="22"/>
                <w:szCs w:val="22"/>
              </w:rPr>
            </w:pPr>
            <w:r w:rsidRPr="00F33061">
              <w:rPr>
                <w:rFonts w:ascii="Arial" w:hAnsi="Arial" w:cs="Arial"/>
                <w:b/>
                <w:bCs/>
                <w:sz w:val="22"/>
                <w:szCs w:val="22"/>
              </w:rPr>
              <w:t>B1</w:t>
            </w:r>
          </w:p>
        </w:tc>
        <w:tc>
          <w:tcPr>
            <w:tcW w:w="8010" w:type="dxa"/>
            <w:shd w:val="clear" w:color="auto" w:fill="auto"/>
          </w:tcPr>
          <w:p w14:paraId="27AFF1AE" w14:textId="77777777" w:rsidR="00CC5A37" w:rsidRPr="00F33061" w:rsidRDefault="00CC5A37" w:rsidP="00BE0F67">
            <w:pPr>
              <w:contextualSpacing/>
              <w:jc w:val="both"/>
              <w:rPr>
                <w:rFonts w:ascii="Arial" w:hAnsi="Arial" w:cs="Arial"/>
                <w:b/>
                <w:bCs/>
                <w:sz w:val="22"/>
                <w:szCs w:val="22"/>
              </w:rPr>
            </w:pPr>
            <w:r w:rsidRPr="00F33061">
              <w:rPr>
                <w:rFonts w:ascii="Arial" w:hAnsi="Arial" w:cs="Arial"/>
                <w:b/>
                <w:bCs/>
                <w:sz w:val="22"/>
                <w:szCs w:val="22"/>
              </w:rPr>
              <w:t xml:space="preserve">Metal and Metal bearing wastes </w:t>
            </w:r>
          </w:p>
        </w:tc>
      </w:tr>
      <w:tr w:rsidR="00CC5A37" w:rsidRPr="00F33061" w14:paraId="4D3B52B8" w14:textId="77777777" w:rsidTr="00BE0F67">
        <w:trPr>
          <w:trHeight w:val="212"/>
        </w:trPr>
        <w:tc>
          <w:tcPr>
            <w:tcW w:w="1170" w:type="dxa"/>
            <w:shd w:val="clear" w:color="auto" w:fill="auto"/>
          </w:tcPr>
          <w:p w14:paraId="17D78B6C" w14:textId="77777777" w:rsidR="00CC5A37" w:rsidRPr="00F33061" w:rsidRDefault="00CC5A37" w:rsidP="00BE0F67">
            <w:pPr>
              <w:contextualSpacing/>
              <w:jc w:val="both"/>
              <w:rPr>
                <w:rFonts w:ascii="Arial" w:hAnsi="Arial" w:cs="Arial"/>
                <w:b/>
                <w:bCs/>
                <w:sz w:val="22"/>
                <w:szCs w:val="22"/>
              </w:rPr>
            </w:pPr>
            <w:r w:rsidRPr="00F33061">
              <w:rPr>
                <w:rFonts w:ascii="Arial" w:hAnsi="Arial" w:cs="Arial"/>
                <w:bCs/>
                <w:sz w:val="22"/>
                <w:szCs w:val="22"/>
              </w:rPr>
              <w:t>B 1110</w:t>
            </w:r>
          </w:p>
        </w:tc>
        <w:tc>
          <w:tcPr>
            <w:tcW w:w="8010" w:type="dxa"/>
            <w:shd w:val="clear" w:color="auto" w:fill="auto"/>
          </w:tcPr>
          <w:p w14:paraId="430C62E9" w14:textId="77777777" w:rsidR="00CC5A37" w:rsidRPr="00F33061" w:rsidRDefault="00CC5A37" w:rsidP="00BE0F67">
            <w:pPr>
              <w:contextualSpacing/>
              <w:jc w:val="both"/>
              <w:rPr>
                <w:rFonts w:ascii="Arial" w:hAnsi="Arial" w:cs="Arial"/>
                <w:bCs/>
                <w:sz w:val="22"/>
                <w:szCs w:val="22"/>
              </w:rPr>
            </w:pPr>
            <w:r w:rsidRPr="00F33061">
              <w:rPr>
                <w:rFonts w:ascii="Arial" w:hAnsi="Arial" w:cs="Arial"/>
                <w:bCs/>
                <w:sz w:val="22"/>
                <w:szCs w:val="22"/>
              </w:rPr>
              <w:t>Used critical care medical equipment for re-use</w:t>
            </w:r>
          </w:p>
        </w:tc>
      </w:tr>
      <w:tr w:rsidR="00CC5A37" w:rsidRPr="00F33061" w14:paraId="648DC430" w14:textId="77777777" w:rsidTr="00BE0F67">
        <w:trPr>
          <w:trHeight w:val="212"/>
        </w:trPr>
        <w:tc>
          <w:tcPr>
            <w:tcW w:w="1170" w:type="dxa"/>
            <w:shd w:val="clear" w:color="auto" w:fill="auto"/>
          </w:tcPr>
          <w:p w14:paraId="77E14105" w14:textId="77777777" w:rsidR="00CC5A37" w:rsidRPr="00F33061" w:rsidRDefault="00CC5A37" w:rsidP="00BE0F67">
            <w:pPr>
              <w:contextualSpacing/>
              <w:jc w:val="both"/>
              <w:rPr>
                <w:rFonts w:ascii="Arial" w:hAnsi="Arial" w:cs="Arial"/>
                <w:bCs/>
                <w:sz w:val="22"/>
                <w:szCs w:val="22"/>
              </w:rPr>
            </w:pPr>
            <w:r w:rsidRPr="00F33061">
              <w:rPr>
                <w:rFonts w:ascii="Arial" w:hAnsi="Arial" w:cs="Arial"/>
                <w:bCs/>
                <w:sz w:val="22"/>
                <w:szCs w:val="22"/>
              </w:rPr>
              <w:t>B1115</w:t>
            </w:r>
          </w:p>
        </w:tc>
        <w:tc>
          <w:tcPr>
            <w:tcW w:w="8010" w:type="dxa"/>
            <w:shd w:val="clear" w:color="auto" w:fill="auto"/>
          </w:tcPr>
          <w:p w14:paraId="17885767" w14:textId="77777777" w:rsidR="00CC5A37" w:rsidRPr="00F33061" w:rsidRDefault="00CC5A37" w:rsidP="00BE0F67">
            <w:pPr>
              <w:contextualSpacing/>
              <w:jc w:val="both"/>
              <w:rPr>
                <w:rFonts w:ascii="Arial" w:hAnsi="Arial" w:cs="Arial"/>
                <w:bCs/>
                <w:sz w:val="22"/>
                <w:szCs w:val="22"/>
              </w:rPr>
            </w:pPr>
            <w:r w:rsidRPr="00F33061">
              <w:rPr>
                <w:rFonts w:ascii="Arial" w:hAnsi="Arial" w:cs="Arial"/>
                <w:bCs/>
                <w:sz w:val="22"/>
                <w:szCs w:val="22"/>
              </w:rPr>
              <w:t>Waste metal cables coated or insulated with plastics, not included in A1190 of this schedule, excluding those destined for operations which do not lead to resource recovery, recycling, reclamation, direct re-use or alternative uses or any other disposal operations involving, at any stage, uncontrolled thermal processes, such as open-burning.</w:t>
            </w:r>
          </w:p>
        </w:tc>
      </w:tr>
      <w:tr w:rsidR="00CC5A37" w:rsidRPr="00F33061" w14:paraId="5E162A1B" w14:textId="77777777" w:rsidTr="00BE0F67">
        <w:trPr>
          <w:trHeight w:val="318"/>
        </w:trPr>
        <w:tc>
          <w:tcPr>
            <w:tcW w:w="1170" w:type="dxa"/>
            <w:shd w:val="clear" w:color="auto" w:fill="auto"/>
          </w:tcPr>
          <w:p w14:paraId="2DAC4100"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B1250</w:t>
            </w:r>
          </w:p>
        </w:tc>
        <w:tc>
          <w:tcPr>
            <w:tcW w:w="8010" w:type="dxa"/>
            <w:shd w:val="clear" w:color="auto" w:fill="auto"/>
          </w:tcPr>
          <w:p w14:paraId="4446757E" w14:textId="77777777" w:rsidR="00CC5A37" w:rsidRPr="00F33061" w:rsidRDefault="00CC5A37" w:rsidP="00BE0F67">
            <w:pPr>
              <w:contextualSpacing/>
              <w:jc w:val="both"/>
              <w:rPr>
                <w:rFonts w:ascii="Arial" w:hAnsi="Arial" w:cs="Arial"/>
                <w:bCs/>
                <w:sz w:val="22"/>
                <w:szCs w:val="22"/>
              </w:rPr>
            </w:pPr>
            <w:r w:rsidRPr="00F33061">
              <w:rPr>
                <w:rFonts w:ascii="Arial" w:hAnsi="Arial" w:cs="Arial"/>
                <w:bCs/>
                <w:sz w:val="22"/>
                <w:szCs w:val="22"/>
              </w:rPr>
              <w:t>Waste end-of-life motor vehicles, containing neither liquids nor other hazardous components</w:t>
            </w:r>
          </w:p>
        </w:tc>
      </w:tr>
      <w:tr w:rsidR="00CC5A37" w:rsidRPr="00F33061" w14:paraId="2EBCB096" w14:textId="77777777" w:rsidTr="00BE0F67">
        <w:trPr>
          <w:trHeight w:val="318"/>
        </w:trPr>
        <w:tc>
          <w:tcPr>
            <w:tcW w:w="1170" w:type="dxa"/>
            <w:shd w:val="clear" w:color="auto" w:fill="auto"/>
          </w:tcPr>
          <w:p w14:paraId="135A24A7" w14:textId="77777777" w:rsidR="00CC5A37" w:rsidRPr="00F33061" w:rsidRDefault="00CC5A37" w:rsidP="00BE0F67">
            <w:pPr>
              <w:ind w:left="72"/>
              <w:contextualSpacing/>
              <w:jc w:val="both"/>
              <w:rPr>
                <w:rFonts w:ascii="Arial" w:eastAsia="Calibri" w:hAnsi="Arial" w:cs="Arial"/>
                <w:sz w:val="22"/>
                <w:szCs w:val="22"/>
                <w:lang w:bidi="hi-IN"/>
              </w:rPr>
            </w:pPr>
            <w:r w:rsidRPr="00F33061">
              <w:rPr>
                <w:rFonts w:ascii="Arial" w:eastAsia="Calibri" w:hAnsi="Arial" w:cs="Arial"/>
                <w:b/>
                <w:bCs/>
                <w:sz w:val="22"/>
                <w:szCs w:val="22"/>
                <w:lang w:bidi="hi-IN"/>
              </w:rPr>
              <w:t>B2</w:t>
            </w:r>
          </w:p>
        </w:tc>
        <w:tc>
          <w:tcPr>
            <w:tcW w:w="8010" w:type="dxa"/>
            <w:shd w:val="clear" w:color="auto" w:fill="auto"/>
          </w:tcPr>
          <w:p w14:paraId="043CE227" w14:textId="77777777" w:rsidR="00CC5A37" w:rsidRPr="00F33061" w:rsidRDefault="00CC5A37" w:rsidP="00BE0F67">
            <w:pPr>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Wastes containing principally inorganic constituents, which may contain metals and organic materials</w:t>
            </w:r>
          </w:p>
        </w:tc>
      </w:tr>
      <w:tr w:rsidR="00CC5A37" w:rsidRPr="00F33061" w14:paraId="45CA1D6D" w14:textId="77777777" w:rsidTr="00BE0F67">
        <w:trPr>
          <w:trHeight w:val="318"/>
        </w:trPr>
        <w:tc>
          <w:tcPr>
            <w:tcW w:w="1170" w:type="dxa"/>
            <w:shd w:val="clear" w:color="auto" w:fill="auto"/>
          </w:tcPr>
          <w:p w14:paraId="17CF29BC" w14:textId="77777777" w:rsidR="00CC5A37" w:rsidRPr="00F33061" w:rsidRDefault="00CC5A37" w:rsidP="00BE0F6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B2050</w:t>
            </w:r>
          </w:p>
        </w:tc>
        <w:tc>
          <w:tcPr>
            <w:tcW w:w="8010" w:type="dxa"/>
            <w:shd w:val="clear" w:color="auto" w:fill="auto"/>
          </w:tcPr>
          <w:p w14:paraId="0180D077" w14:textId="77777777" w:rsidR="00CC5A37" w:rsidRPr="00F33061" w:rsidRDefault="00CC5A37" w:rsidP="00BE0F6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Coal-fired power plant fly-ash, note the related entry at A2060 of this Schedule</w:t>
            </w:r>
          </w:p>
        </w:tc>
      </w:tr>
      <w:tr w:rsidR="00CC5A37" w:rsidRPr="00F33061" w14:paraId="411BA833" w14:textId="77777777" w:rsidTr="00BE0F67">
        <w:trPr>
          <w:trHeight w:val="318"/>
        </w:trPr>
        <w:tc>
          <w:tcPr>
            <w:tcW w:w="1170" w:type="dxa"/>
            <w:shd w:val="clear" w:color="auto" w:fill="auto"/>
          </w:tcPr>
          <w:p w14:paraId="75D7C147" w14:textId="77777777" w:rsidR="00CC5A37" w:rsidRPr="00F33061" w:rsidRDefault="00CC5A37" w:rsidP="00BE0F6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B2110</w:t>
            </w:r>
          </w:p>
        </w:tc>
        <w:tc>
          <w:tcPr>
            <w:tcW w:w="8010" w:type="dxa"/>
            <w:shd w:val="clear" w:color="auto" w:fill="auto"/>
          </w:tcPr>
          <w:p w14:paraId="711EAE8F" w14:textId="77777777" w:rsidR="00CC5A37" w:rsidRPr="00F33061" w:rsidRDefault="00CC5A37" w:rsidP="00BE0F6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Bauxite residue  (red mud) (pH moderated to less than 11.5) </w:t>
            </w:r>
          </w:p>
        </w:tc>
      </w:tr>
      <w:tr w:rsidR="00CC5A37" w:rsidRPr="00F33061" w14:paraId="747A3D33" w14:textId="77777777" w:rsidTr="00BE0F67">
        <w:trPr>
          <w:trHeight w:val="832"/>
        </w:trPr>
        <w:tc>
          <w:tcPr>
            <w:tcW w:w="1170" w:type="dxa"/>
            <w:shd w:val="clear" w:color="auto" w:fill="auto"/>
          </w:tcPr>
          <w:p w14:paraId="5D1076EE" w14:textId="77777777" w:rsidR="00CC5A37" w:rsidRPr="00F33061" w:rsidRDefault="00CC5A37" w:rsidP="00BE0F6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B2120</w:t>
            </w:r>
          </w:p>
        </w:tc>
        <w:tc>
          <w:tcPr>
            <w:tcW w:w="8010" w:type="dxa"/>
            <w:shd w:val="clear" w:color="auto" w:fill="auto"/>
          </w:tcPr>
          <w:p w14:paraId="5BAF7076" w14:textId="77777777" w:rsidR="00CC5A37" w:rsidRPr="00F33061" w:rsidRDefault="00CC5A37" w:rsidP="00BE0F6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Waste acidic or basic solutions with a pH greater than 2 and less than 11.5, which are not corrosive or otherwise hazardous (note the related entry at A4090 of this schedule) </w:t>
            </w:r>
          </w:p>
        </w:tc>
      </w:tr>
      <w:tr w:rsidR="00CC5A37" w:rsidRPr="00F33061" w14:paraId="17F54B0C" w14:textId="77777777" w:rsidTr="00BE0F67">
        <w:trPr>
          <w:trHeight w:val="318"/>
        </w:trPr>
        <w:tc>
          <w:tcPr>
            <w:tcW w:w="1170" w:type="dxa"/>
            <w:shd w:val="clear" w:color="auto" w:fill="auto"/>
          </w:tcPr>
          <w:p w14:paraId="108AC1AB" w14:textId="77777777" w:rsidR="00CC5A37" w:rsidRPr="00F33061" w:rsidRDefault="00CC5A37" w:rsidP="00BE0F67">
            <w:pPr>
              <w:ind w:left="72"/>
              <w:contextualSpacing/>
              <w:jc w:val="both"/>
              <w:rPr>
                <w:rFonts w:ascii="Arial" w:eastAsia="Calibri" w:hAnsi="Arial" w:cs="Arial"/>
                <w:sz w:val="22"/>
                <w:szCs w:val="22"/>
                <w:lang w:bidi="hi-IN"/>
              </w:rPr>
            </w:pPr>
            <w:r w:rsidRPr="00F33061">
              <w:rPr>
                <w:rFonts w:ascii="Arial" w:eastAsia="Calibri" w:hAnsi="Arial" w:cs="Arial"/>
                <w:b/>
                <w:bCs/>
                <w:sz w:val="22"/>
                <w:szCs w:val="22"/>
                <w:lang w:bidi="hi-IN"/>
              </w:rPr>
              <w:t>B3</w:t>
            </w:r>
          </w:p>
        </w:tc>
        <w:tc>
          <w:tcPr>
            <w:tcW w:w="8010" w:type="dxa"/>
            <w:shd w:val="clear" w:color="auto" w:fill="auto"/>
          </w:tcPr>
          <w:p w14:paraId="36348594" w14:textId="77777777" w:rsidR="00CC5A37" w:rsidRPr="00F33061" w:rsidRDefault="00CC5A37" w:rsidP="00BE0F67">
            <w:pPr>
              <w:contextualSpacing/>
              <w:jc w:val="both"/>
              <w:rPr>
                <w:rFonts w:ascii="Arial" w:eastAsia="Calibri" w:hAnsi="Arial" w:cs="Arial"/>
                <w:b/>
                <w:bCs/>
                <w:sz w:val="22"/>
                <w:szCs w:val="22"/>
                <w:lang w:bidi="hi-IN"/>
              </w:rPr>
            </w:pPr>
            <w:r w:rsidRPr="00F33061">
              <w:rPr>
                <w:rFonts w:ascii="Arial" w:eastAsia="Calibri" w:hAnsi="Arial" w:cs="Arial"/>
                <w:b/>
                <w:bCs/>
                <w:sz w:val="22"/>
                <w:szCs w:val="22"/>
                <w:lang w:bidi="hi-IN"/>
              </w:rPr>
              <w:t>Wastes containing principally organic constituents, which may contain metals and inorganic materials</w:t>
            </w:r>
          </w:p>
        </w:tc>
      </w:tr>
      <w:tr w:rsidR="00CC5A37" w:rsidRPr="00F33061" w14:paraId="347A5684" w14:textId="77777777" w:rsidTr="00BE0F67">
        <w:trPr>
          <w:trHeight w:val="318"/>
        </w:trPr>
        <w:tc>
          <w:tcPr>
            <w:tcW w:w="1170" w:type="dxa"/>
            <w:shd w:val="clear" w:color="auto" w:fill="auto"/>
          </w:tcPr>
          <w:p w14:paraId="384CBB64" w14:textId="77777777" w:rsidR="00CC5A37" w:rsidRPr="00F33061" w:rsidRDefault="00CC5A37" w:rsidP="00BE0F67">
            <w:pPr>
              <w:ind w:left="72"/>
              <w:contextualSpacing/>
              <w:jc w:val="both"/>
              <w:rPr>
                <w:rFonts w:ascii="Arial" w:eastAsia="Calibri" w:hAnsi="Arial" w:cs="Arial"/>
                <w:sz w:val="22"/>
                <w:szCs w:val="22"/>
                <w:lang w:bidi="hi-IN"/>
              </w:rPr>
            </w:pPr>
            <w:r w:rsidRPr="0000698A">
              <w:rPr>
                <w:rFonts w:ascii="Arial" w:eastAsia="Calibri" w:hAnsi="Arial" w:cs="Arial"/>
                <w:sz w:val="22"/>
                <w:szCs w:val="22"/>
                <w:highlight w:val="yellow"/>
                <w:lang w:bidi="hi-IN"/>
              </w:rPr>
              <w:t>B3010</w:t>
            </w:r>
          </w:p>
        </w:tc>
        <w:tc>
          <w:tcPr>
            <w:tcW w:w="8010" w:type="dxa"/>
            <w:shd w:val="clear" w:color="auto" w:fill="auto"/>
          </w:tcPr>
          <w:p w14:paraId="72BDAF5C" w14:textId="77777777" w:rsidR="00CC5A37" w:rsidRPr="00F33061" w:rsidRDefault="00CC5A37" w:rsidP="00BE0F67">
            <w:pPr>
              <w:jc w:val="both"/>
              <w:rPr>
                <w:rFonts w:ascii="Arial" w:eastAsia="Calibri" w:hAnsi="Arial" w:cs="Arial"/>
                <w:sz w:val="22"/>
                <w:szCs w:val="22"/>
                <w:lang w:bidi="hi-IN"/>
              </w:rPr>
            </w:pPr>
            <w:r w:rsidRPr="0000698A">
              <w:rPr>
                <w:rFonts w:ascii="Arial" w:eastAsia="Calibri" w:hAnsi="Arial" w:cs="Arial"/>
                <w:sz w:val="22"/>
                <w:szCs w:val="22"/>
                <w:highlight w:val="yellow"/>
                <w:lang w:bidi="hi-IN"/>
              </w:rPr>
              <w:t>Solid plastic waste</w:t>
            </w:r>
            <w:r w:rsidRPr="00F33061">
              <w:rPr>
                <w:rFonts w:ascii="Arial" w:eastAsia="Calibri" w:hAnsi="Arial" w:cs="Arial"/>
                <w:sz w:val="22"/>
                <w:szCs w:val="22"/>
                <w:lang w:bidi="hi-IN"/>
              </w:rPr>
              <w:t xml:space="preserve"> </w:t>
            </w:r>
          </w:p>
          <w:p w14:paraId="71FD59ED" w14:textId="77777777" w:rsidR="00CC5A37" w:rsidRPr="00F33061" w:rsidRDefault="00CC5A37" w:rsidP="00BE0F67">
            <w:pPr>
              <w:jc w:val="both"/>
              <w:rPr>
                <w:rFonts w:ascii="Arial" w:eastAsia="Calibri" w:hAnsi="Arial" w:cs="Arial"/>
                <w:sz w:val="22"/>
                <w:szCs w:val="22"/>
                <w:lang w:bidi="hi-IN"/>
              </w:rPr>
            </w:pPr>
            <w:r w:rsidRPr="00F33061">
              <w:rPr>
                <w:rFonts w:ascii="Arial" w:eastAsia="Calibri" w:hAnsi="Arial" w:cs="Arial"/>
                <w:sz w:val="22"/>
                <w:szCs w:val="22"/>
                <w:lang w:bidi="hi-IN"/>
              </w:rPr>
              <w:t>The following plastic or mixed plastic waste, prepared to a specification:</w:t>
            </w:r>
          </w:p>
          <w:p w14:paraId="1F6FBC88" w14:textId="77777777" w:rsidR="00CC5A37" w:rsidRPr="00F33061" w:rsidRDefault="00CC5A37" w:rsidP="00CC5A37">
            <w:pPr>
              <w:numPr>
                <w:ilvl w:val="0"/>
                <w:numId w:val="3"/>
              </w:numPr>
              <w:jc w:val="both"/>
              <w:rPr>
                <w:rFonts w:ascii="Arial" w:eastAsia="Calibri" w:hAnsi="Arial" w:cs="Arial"/>
                <w:sz w:val="22"/>
                <w:szCs w:val="22"/>
                <w:lang w:bidi="hi-IN"/>
              </w:rPr>
            </w:pPr>
            <w:r w:rsidRPr="00F33061">
              <w:rPr>
                <w:rFonts w:ascii="Arial" w:eastAsia="Calibri" w:hAnsi="Arial" w:cs="Arial"/>
                <w:sz w:val="22"/>
                <w:szCs w:val="22"/>
                <w:lang w:bidi="hi-IN"/>
              </w:rPr>
              <w:t xml:space="preserve">Scrap plastic of non-halogenated polymers and co-polymers, including but not limited to the following: </w:t>
            </w:r>
          </w:p>
          <w:p w14:paraId="1CA06262" w14:textId="77777777" w:rsidR="00CC5A37" w:rsidRPr="00F33061" w:rsidRDefault="00CC5A37" w:rsidP="00BE0F67">
            <w:pPr>
              <w:ind w:left="720"/>
              <w:jc w:val="both"/>
              <w:rPr>
                <w:rFonts w:ascii="Arial" w:eastAsia="Calibri" w:hAnsi="Arial" w:cs="Arial"/>
                <w:sz w:val="22"/>
                <w:szCs w:val="22"/>
                <w:lang w:bidi="hi-IN"/>
              </w:rPr>
            </w:pPr>
            <w:r w:rsidRPr="00F33061">
              <w:rPr>
                <w:rFonts w:ascii="Arial" w:eastAsia="Calibri" w:hAnsi="Arial" w:cs="Arial"/>
                <w:sz w:val="22"/>
                <w:szCs w:val="22"/>
                <w:lang w:bidi="hi-IN"/>
              </w:rPr>
              <w:t xml:space="preserve">Ethylene, Styrene, Polypropylene, polyethylene terephthalate, Acrylonitrile, Butadiene, Polyacetals, Polyamides, polybutylene </w:t>
            </w:r>
            <w:proofErr w:type="spellStart"/>
            <w:r w:rsidRPr="00F33061">
              <w:rPr>
                <w:rFonts w:ascii="Arial" w:eastAsia="Calibri" w:hAnsi="Arial" w:cs="Arial"/>
                <w:sz w:val="22"/>
                <w:szCs w:val="22"/>
                <w:lang w:bidi="hi-IN"/>
              </w:rPr>
              <w:t>tere</w:t>
            </w:r>
            <w:proofErr w:type="spellEnd"/>
            <w:r w:rsidRPr="00F33061">
              <w:rPr>
                <w:rFonts w:ascii="Arial" w:eastAsia="Calibri" w:hAnsi="Arial" w:cs="Arial"/>
                <w:sz w:val="22"/>
                <w:szCs w:val="22"/>
                <w:lang w:bidi="hi-IN"/>
              </w:rPr>
              <w:t xml:space="preserve">-phthalate, Polycarbonates, </w:t>
            </w:r>
            <w:proofErr w:type="spellStart"/>
            <w:r w:rsidRPr="00F33061">
              <w:rPr>
                <w:rFonts w:ascii="Arial" w:eastAsia="Calibri" w:hAnsi="Arial" w:cs="Arial"/>
                <w:sz w:val="22"/>
                <w:szCs w:val="22"/>
                <w:lang w:bidi="hi-IN"/>
              </w:rPr>
              <w:t>Polyethers</w:t>
            </w:r>
            <w:proofErr w:type="spellEnd"/>
            <w:r w:rsidRPr="00F33061">
              <w:rPr>
                <w:rFonts w:ascii="Arial" w:eastAsia="Calibri" w:hAnsi="Arial" w:cs="Arial"/>
                <w:sz w:val="22"/>
                <w:szCs w:val="22"/>
                <w:lang w:bidi="hi-IN"/>
              </w:rPr>
              <w:t xml:space="preserve">, polyphenylene sulphides, acrylic polymers, alkanes C10-C13 (plasticiser), polyurethane (not containing CFC's), </w:t>
            </w:r>
            <w:proofErr w:type="spellStart"/>
            <w:r w:rsidRPr="00F33061">
              <w:rPr>
                <w:rFonts w:ascii="Arial" w:eastAsia="Calibri" w:hAnsi="Arial" w:cs="Arial"/>
                <w:sz w:val="22"/>
                <w:szCs w:val="22"/>
                <w:lang w:bidi="hi-IN"/>
              </w:rPr>
              <w:t>Polysiloxanes</w:t>
            </w:r>
            <w:proofErr w:type="spellEnd"/>
            <w:r w:rsidRPr="00F33061">
              <w:rPr>
                <w:rFonts w:ascii="Arial" w:eastAsia="Calibri" w:hAnsi="Arial" w:cs="Arial"/>
                <w:sz w:val="22"/>
                <w:szCs w:val="22"/>
                <w:lang w:bidi="hi-IN"/>
              </w:rPr>
              <w:t>, polymethyl methacrylate, polyvinyl alcohol, polyvinyl butyral, Polyvinyl acetate</w:t>
            </w:r>
          </w:p>
          <w:p w14:paraId="4FEB0D30" w14:textId="77777777" w:rsidR="00CC5A37" w:rsidRPr="00F33061" w:rsidRDefault="00CC5A37" w:rsidP="00BE0F67">
            <w:pPr>
              <w:ind w:left="720"/>
              <w:jc w:val="both"/>
              <w:rPr>
                <w:rFonts w:ascii="Arial" w:eastAsia="Calibri" w:hAnsi="Arial" w:cs="Arial"/>
                <w:sz w:val="22"/>
                <w:szCs w:val="22"/>
                <w:lang w:bidi="hi-IN"/>
              </w:rPr>
            </w:pPr>
          </w:p>
          <w:p w14:paraId="0765BE23" w14:textId="77777777" w:rsidR="00CC5A37" w:rsidRPr="00F33061" w:rsidRDefault="00CC5A37" w:rsidP="00CC5A37">
            <w:pPr>
              <w:numPr>
                <w:ilvl w:val="0"/>
                <w:numId w:val="3"/>
              </w:numPr>
              <w:jc w:val="both"/>
              <w:rPr>
                <w:rFonts w:ascii="Arial" w:eastAsia="Calibri" w:hAnsi="Arial" w:cs="Arial"/>
                <w:sz w:val="22"/>
                <w:szCs w:val="22"/>
                <w:lang w:bidi="hi-IN"/>
              </w:rPr>
            </w:pPr>
            <w:r w:rsidRPr="00F33061">
              <w:rPr>
                <w:rFonts w:ascii="Arial" w:eastAsia="Calibri" w:hAnsi="Arial" w:cs="Arial"/>
                <w:sz w:val="22"/>
                <w:szCs w:val="22"/>
                <w:lang w:bidi="hi-IN"/>
              </w:rPr>
              <w:t xml:space="preserve">Cured waste resins or condensation products including the following: </w:t>
            </w:r>
          </w:p>
          <w:p w14:paraId="653BF411" w14:textId="77777777" w:rsidR="00CC5A37" w:rsidRPr="00F33061" w:rsidRDefault="00CC5A37" w:rsidP="00BE0F67">
            <w:pPr>
              <w:ind w:left="720"/>
              <w:jc w:val="both"/>
              <w:rPr>
                <w:rFonts w:ascii="Arial" w:eastAsia="Calibri" w:hAnsi="Arial" w:cs="Arial"/>
                <w:sz w:val="22"/>
                <w:szCs w:val="22"/>
                <w:lang w:bidi="hi-IN"/>
              </w:rPr>
            </w:pPr>
            <w:r w:rsidRPr="00F33061">
              <w:rPr>
                <w:rFonts w:ascii="Arial" w:eastAsia="Calibri" w:hAnsi="Arial" w:cs="Arial"/>
                <w:sz w:val="22"/>
                <w:szCs w:val="22"/>
                <w:lang w:bidi="hi-IN"/>
              </w:rPr>
              <w:t>urea formaldehyde resins, phenol formaldehyde resins, melamine formaldehyde resins, epoxy resins, alkyd resins, polyamides</w:t>
            </w:r>
          </w:p>
          <w:p w14:paraId="480F2896" w14:textId="77777777" w:rsidR="00CC5A37" w:rsidRPr="00F33061" w:rsidRDefault="00CC5A37" w:rsidP="00BE0F67">
            <w:pPr>
              <w:ind w:left="720"/>
              <w:jc w:val="both"/>
              <w:rPr>
                <w:rFonts w:ascii="Arial" w:eastAsia="Calibri" w:hAnsi="Arial" w:cs="Arial"/>
                <w:sz w:val="22"/>
                <w:szCs w:val="22"/>
                <w:lang w:bidi="hi-IN"/>
              </w:rPr>
            </w:pPr>
          </w:p>
          <w:p w14:paraId="0894D85D" w14:textId="77777777" w:rsidR="00CC5A37" w:rsidRPr="00F33061" w:rsidRDefault="00CC5A37" w:rsidP="00CC5A37">
            <w:pPr>
              <w:numPr>
                <w:ilvl w:val="0"/>
                <w:numId w:val="3"/>
              </w:numPr>
              <w:jc w:val="both"/>
              <w:rPr>
                <w:rFonts w:ascii="Arial" w:eastAsia="Calibri" w:hAnsi="Arial" w:cs="Arial"/>
                <w:b/>
                <w:bCs/>
                <w:sz w:val="22"/>
                <w:szCs w:val="22"/>
                <w:lang w:bidi="hi-IN"/>
              </w:rPr>
            </w:pPr>
            <w:r w:rsidRPr="00F33061">
              <w:rPr>
                <w:rFonts w:ascii="Arial" w:eastAsia="Calibri" w:hAnsi="Arial" w:cs="Arial"/>
                <w:sz w:val="22"/>
                <w:szCs w:val="22"/>
                <w:lang w:bidi="hi-IN"/>
              </w:rPr>
              <w:t>The following fluorinated polymer wastes (excluding post-consumer wastes):</w:t>
            </w:r>
          </w:p>
          <w:p w14:paraId="513D2167" w14:textId="77777777" w:rsidR="00CC5A37" w:rsidRPr="00F33061" w:rsidRDefault="00CC5A37" w:rsidP="00BE0F67">
            <w:pPr>
              <w:ind w:left="720"/>
              <w:jc w:val="both"/>
              <w:rPr>
                <w:rFonts w:ascii="Arial" w:eastAsia="Calibri" w:hAnsi="Arial" w:cs="Arial"/>
                <w:sz w:val="22"/>
                <w:szCs w:val="22"/>
                <w:lang w:bidi="hi-IN"/>
              </w:rPr>
            </w:pPr>
            <w:proofErr w:type="spellStart"/>
            <w:r w:rsidRPr="00F33061">
              <w:rPr>
                <w:rFonts w:ascii="Arial" w:eastAsia="Calibri" w:hAnsi="Arial" w:cs="Arial"/>
                <w:sz w:val="22"/>
                <w:szCs w:val="22"/>
                <w:lang w:bidi="hi-IN"/>
              </w:rPr>
              <w:lastRenderedPageBreak/>
              <w:t>perfluoroethylene</w:t>
            </w:r>
            <w:proofErr w:type="spellEnd"/>
            <w:r w:rsidRPr="00F33061">
              <w:rPr>
                <w:rFonts w:ascii="Arial" w:eastAsia="Calibri" w:hAnsi="Arial" w:cs="Arial"/>
                <w:sz w:val="22"/>
                <w:szCs w:val="22"/>
                <w:lang w:bidi="hi-IN"/>
              </w:rPr>
              <w:t xml:space="preserve">/ propylene, perfluoro alkoxy alkane, tetrafluoroethylene/per </w:t>
            </w:r>
            <w:proofErr w:type="spellStart"/>
            <w:r w:rsidRPr="00F33061">
              <w:rPr>
                <w:rFonts w:ascii="Arial" w:eastAsia="Calibri" w:hAnsi="Arial" w:cs="Arial"/>
                <w:sz w:val="22"/>
                <w:szCs w:val="22"/>
                <w:lang w:bidi="hi-IN"/>
              </w:rPr>
              <w:t>fluoro</w:t>
            </w:r>
            <w:proofErr w:type="spellEnd"/>
            <w:r w:rsidRPr="00F33061">
              <w:rPr>
                <w:rFonts w:ascii="Arial" w:eastAsia="Calibri" w:hAnsi="Arial" w:cs="Arial"/>
                <w:sz w:val="22"/>
                <w:szCs w:val="22"/>
                <w:lang w:bidi="hi-IN"/>
              </w:rPr>
              <w:t xml:space="preserve"> vinyl ether (PFA), tetrafluoroethylene/per </w:t>
            </w:r>
            <w:proofErr w:type="spellStart"/>
            <w:r w:rsidRPr="00F33061">
              <w:rPr>
                <w:rFonts w:ascii="Arial" w:eastAsia="Calibri" w:hAnsi="Arial" w:cs="Arial"/>
                <w:sz w:val="22"/>
                <w:szCs w:val="22"/>
                <w:lang w:bidi="hi-IN"/>
              </w:rPr>
              <w:t>fluoro</w:t>
            </w:r>
            <w:proofErr w:type="spellEnd"/>
            <w:r w:rsidRPr="00F33061">
              <w:rPr>
                <w:rFonts w:ascii="Arial" w:eastAsia="Calibri" w:hAnsi="Arial" w:cs="Arial"/>
                <w:sz w:val="22"/>
                <w:szCs w:val="22"/>
                <w:lang w:bidi="hi-IN"/>
              </w:rPr>
              <w:t xml:space="preserve"> </w:t>
            </w:r>
            <w:proofErr w:type="spellStart"/>
            <w:r w:rsidRPr="00F33061">
              <w:rPr>
                <w:rFonts w:ascii="Arial" w:eastAsia="Calibri" w:hAnsi="Arial" w:cs="Arial"/>
                <w:sz w:val="22"/>
                <w:szCs w:val="22"/>
                <w:lang w:bidi="hi-IN"/>
              </w:rPr>
              <w:t>methylvinyl</w:t>
            </w:r>
            <w:proofErr w:type="spellEnd"/>
            <w:r w:rsidRPr="00F33061">
              <w:rPr>
                <w:rFonts w:ascii="Arial" w:eastAsia="Calibri" w:hAnsi="Arial" w:cs="Arial"/>
                <w:sz w:val="22"/>
                <w:szCs w:val="22"/>
                <w:lang w:bidi="hi-IN"/>
              </w:rPr>
              <w:t xml:space="preserve"> ether (MFA), </w:t>
            </w:r>
            <w:proofErr w:type="spellStart"/>
            <w:r w:rsidRPr="00F33061">
              <w:rPr>
                <w:rFonts w:ascii="Arial" w:eastAsia="Calibri" w:hAnsi="Arial" w:cs="Arial"/>
                <w:sz w:val="22"/>
                <w:szCs w:val="22"/>
                <w:lang w:bidi="hi-IN"/>
              </w:rPr>
              <w:t>polyvinylfluoride</w:t>
            </w:r>
            <w:proofErr w:type="spellEnd"/>
            <w:r w:rsidRPr="00F33061">
              <w:rPr>
                <w:rFonts w:ascii="Arial" w:eastAsia="Calibri" w:hAnsi="Arial" w:cs="Arial"/>
                <w:sz w:val="22"/>
                <w:szCs w:val="22"/>
                <w:lang w:bidi="hi-IN"/>
              </w:rPr>
              <w:t xml:space="preserve"> , </w:t>
            </w:r>
            <w:proofErr w:type="spellStart"/>
            <w:r w:rsidRPr="00F33061">
              <w:rPr>
                <w:rFonts w:ascii="Arial" w:eastAsia="Calibri" w:hAnsi="Arial" w:cs="Arial"/>
                <w:sz w:val="22"/>
                <w:szCs w:val="22"/>
                <w:lang w:bidi="hi-IN"/>
              </w:rPr>
              <w:t>polyvinylidenefluoride</w:t>
            </w:r>
            <w:proofErr w:type="spellEnd"/>
            <w:r w:rsidRPr="00F33061">
              <w:rPr>
                <w:rFonts w:ascii="Arial" w:eastAsia="Calibri" w:hAnsi="Arial" w:cs="Arial"/>
                <w:sz w:val="22"/>
                <w:szCs w:val="22"/>
                <w:lang w:bidi="hi-IN"/>
              </w:rPr>
              <w:t xml:space="preserve"> </w:t>
            </w:r>
          </w:p>
          <w:p w14:paraId="31376068" w14:textId="77777777" w:rsidR="00CC5A37" w:rsidRPr="00F33061" w:rsidRDefault="00CC5A37" w:rsidP="00BE0F67">
            <w:pPr>
              <w:ind w:left="720"/>
              <w:jc w:val="both"/>
              <w:rPr>
                <w:rFonts w:ascii="Arial" w:eastAsia="Calibri" w:hAnsi="Arial" w:cs="Arial"/>
                <w:sz w:val="22"/>
                <w:szCs w:val="22"/>
                <w:lang w:bidi="hi-IN"/>
              </w:rPr>
            </w:pPr>
          </w:p>
        </w:tc>
      </w:tr>
      <w:tr w:rsidR="00CC5A37" w:rsidRPr="00F33061" w14:paraId="79860CFB" w14:textId="77777777" w:rsidTr="00BE0F67">
        <w:trPr>
          <w:trHeight w:val="318"/>
        </w:trPr>
        <w:tc>
          <w:tcPr>
            <w:tcW w:w="1170" w:type="dxa"/>
            <w:shd w:val="clear" w:color="auto" w:fill="auto"/>
          </w:tcPr>
          <w:p w14:paraId="5455CC89" w14:textId="77777777" w:rsidR="00CC5A37" w:rsidRPr="00F33061" w:rsidRDefault="00CC5A37" w:rsidP="00BE0F67">
            <w:pPr>
              <w:ind w:left="72"/>
              <w:contextualSpacing/>
              <w:jc w:val="both"/>
              <w:rPr>
                <w:rFonts w:ascii="Arial" w:eastAsia="Calibri" w:hAnsi="Arial" w:cs="Arial"/>
                <w:sz w:val="22"/>
                <w:szCs w:val="22"/>
                <w:lang w:bidi="hi-IN"/>
              </w:rPr>
            </w:pPr>
            <w:r w:rsidRPr="00F33061">
              <w:rPr>
                <w:rFonts w:ascii="Arial" w:eastAsia="Calibri" w:hAnsi="Arial" w:cs="Arial"/>
                <w:sz w:val="22"/>
                <w:szCs w:val="22"/>
                <w:lang w:bidi="hi-IN"/>
              </w:rPr>
              <w:lastRenderedPageBreak/>
              <w:t>B3026</w:t>
            </w:r>
          </w:p>
        </w:tc>
        <w:tc>
          <w:tcPr>
            <w:tcW w:w="8010" w:type="dxa"/>
            <w:shd w:val="clear" w:color="auto" w:fill="auto"/>
          </w:tcPr>
          <w:p w14:paraId="7A9481A7" w14:textId="77777777" w:rsidR="00CC5A37" w:rsidRPr="00F33061" w:rsidRDefault="00CC5A37" w:rsidP="00BE0F67">
            <w:pPr>
              <w:contextualSpacing/>
              <w:jc w:val="both"/>
              <w:rPr>
                <w:rFonts w:ascii="Arial" w:eastAsia="Calibri" w:hAnsi="Arial" w:cs="Arial"/>
                <w:sz w:val="22"/>
                <w:szCs w:val="22"/>
                <w:lang w:bidi="hi-IN"/>
              </w:rPr>
            </w:pPr>
            <w:r w:rsidRPr="00F33061">
              <w:rPr>
                <w:rFonts w:ascii="Arial" w:eastAsia="Calibri" w:hAnsi="Arial" w:cs="Arial"/>
                <w:sz w:val="22"/>
                <w:szCs w:val="22"/>
                <w:lang w:bidi="hi-IN"/>
              </w:rPr>
              <w:t>The following waste from the pre-treatment of composite packaging for liquids, not containing constituents mentioned in Schedule II in concentrations sufficient to exhibit Part C characteristics:</w:t>
            </w:r>
          </w:p>
          <w:p w14:paraId="2E3ED45D" w14:textId="77777777" w:rsidR="00CC5A37" w:rsidRPr="00F33061" w:rsidRDefault="00CC5A37" w:rsidP="00CC5A37">
            <w:pPr>
              <w:numPr>
                <w:ilvl w:val="0"/>
                <w:numId w:val="1"/>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Non-separable plastic fraction</w:t>
            </w:r>
          </w:p>
          <w:p w14:paraId="3B65AE74" w14:textId="77777777" w:rsidR="00CC5A37" w:rsidRPr="00F33061" w:rsidRDefault="00CC5A37" w:rsidP="00CC5A37">
            <w:pPr>
              <w:numPr>
                <w:ilvl w:val="0"/>
                <w:numId w:val="1"/>
              </w:numPr>
              <w:contextualSpacing/>
              <w:jc w:val="both"/>
              <w:rPr>
                <w:rFonts w:ascii="Arial" w:eastAsia="Calibri" w:hAnsi="Arial" w:cs="Arial"/>
                <w:sz w:val="22"/>
                <w:szCs w:val="22"/>
                <w:lang w:bidi="hi-IN"/>
              </w:rPr>
            </w:pPr>
            <w:r w:rsidRPr="00F33061">
              <w:rPr>
                <w:rFonts w:ascii="Arial" w:eastAsia="Calibri" w:hAnsi="Arial" w:cs="Arial"/>
                <w:sz w:val="22"/>
                <w:szCs w:val="22"/>
                <w:lang w:bidi="hi-IN"/>
              </w:rPr>
              <w:t xml:space="preserve">Non-separable plastic-aluminium fraction </w:t>
            </w:r>
          </w:p>
          <w:p w14:paraId="46E27A99" w14:textId="77777777" w:rsidR="00CC5A37" w:rsidRPr="00F33061" w:rsidRDefault="00CC5A37" w:rsidP="00CC5A37">
            <w:pPr>
              <w:numPr>
                <w:ilvl w:val="0"/>
                <w:numId w:val="1"/>
              </w:numPr>
              <w:contextualSpacing/>
              <w:jc w:val="both"/>
              <w:rPr>
                <w:rFonts w:ascii="Arial" w:eastAsia="Calibri" w:hAnsi="Arial" w:cs="Arial"/>
                <w:sz w:val="22"/>
                <w:szCs w:val="22"/>
                <w:lang w:bidi="hi-IN"/>
              </w:rPr>
            </w:pPr>
          </w:p>
        </w:tc>
      </w:tr>
      <w:tr w:rsidR="00CC5A37" w:rsidRPr="00F33061" w14:paraId="023DDC9F" w14:textId="77777777" w:rsidTr="00BE0F67">
        <w:trPr>
          <w:trHeight w:val="318"/>
        </w:trPr>
        <w:tc>
          <w:tcPr>
            <w:tcW w:w="1170" w:type="dxa"/>
            <w:shd w:val="clear" w:color="auto" w:fill="auto"/>
          </w:tcPr>
          <w:p w14:paraId="26ACEB60"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 B3065</w:t>
            </w:r>
          </w:p>
        </w:tc>
        <w:tc>
          <w:tcPr>
            <w:tcW w:w="8010" w:type="dxa"/>
            <w:shd w:val="clear" w:color="auto" w:fill="auto"/>
          </w:tcPr>
          <w:p w14:paraId="52CE94D2" w14:textId="77777777" w:rsidR="00CC5A37" w:rsidRPr="00F33061" w:rsidRDefault="00CC5A37" w:rsidP="00BE0F67">
            <w:pPr>
              <w:contextualSpacing/>
              <w:jc w:val="both"/>
              <w:rPr>
                <w:rFonts w:ascii="Arial" w:hAnsi="Arial" w:cs="Arial"/>
                <w:bCs/>
                <w:sz w:val="22"/>
                <w:szCs w:val="22"/>
              </w:rPr>
            </w:pPr>
            <w:r w:rsidRPr="00F33061">
              <w:rPr>
                <w:rFonts w:ascii="Arial" w:hAnsi="Arial" w:cs="Arial"/>
                <w:bCs/>
                <w:sz w:val="22"/>
                <w:szCs w:val="22"/>
              </w:rPr>
              <w:t xml:space="preserve">Waste edible fats and oils of animal or vegetable origin (e.g. frying oil) </w:t>
            </w:r>
          </w:p>
          <w:p w14:paraId="5A30190D" w14:textId="77777777" w:rsidR="00CC5A37" w:rsidRPr="00F33061" w:rsidRDefault="00CC5A37" w:rsidP="00BE0F67">
            <w:pPr>
              <w:contextualSpacing/>
              <w:jc w:val="both"/>
              <w:rPr>
                <w:rFonts w:ascii="Arial" w:hAnsi="Arial" w:cs="Arial"/>
                <w:bCs/>
                <w:sz w:val="22"/>
                <w:szCs w:val="22"/>
              </w:rPr>
            </w:pPr>
          </w:p>
        </w:tc>
      </w:tr>
      <w:tr w:rsidR="00CC5A37" w:rsidRPr="00F33061" w14:paraId="22955748" w14:textId="77777777" w:rsidTr="00BE0F67">
        <w:trPr>
          <w:trHeight w:val="318"/>
        </w:trPr>
        <w:tc>
          <w:tcPr>
            <w:tcW w:w="1170" w:type="dxa"/>
            <w:shd w:val="clear" w:color="auto" w:fill="auto"/>
          </w:tcPr>
          <w:p w14:paraId="1A456B86"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 B3140</w:t>
            </w:r>
          </w:p>
        </w:tc>
        <w:tc>
          <w:tcPr>
            <w:tcW w:w="8010" w:type="dxa"/>
            <w:shd w:val="clear" w:color="auto" w:fill="auto"/>
          </w:tcPr>
          <w:p w14:paraId="743AAA27" w14:textId="77777777" w:rsidR="00CC5A37" w:rsidRPr="00F33061" w:rsidRDefault="00CC5A37" w:rsidP="00BE0F67">
            <w:pPr>
              <w:contextualSpacing/>
              <w:jc w:val="both"/>
              <w:rPr>
                <w:rFonts w:ascii="Arial" w:hAnsi="Arial" w:cs="Arial"/>
                <w:bCs/>
                <w:sz w:val="22"/>
                <w:szCs w:val="22"/>
              </w:rPr>
            </w:pPr>
            <w:r w:rsidRPr="00F33061">
              <w:rPr>
                <w:rFonts w:ascii="Arial" w:hAnsi="Arial" w:cs="Arial"/>
                <w:bCs/>
                <w:sz w:val="22"/>
                <w:szCs w:val="22"/>
              </w:rPr>
              <w:t>Waste pneumatic tyres for direct reuse</w:t>
            </w:r>
          </w:p>
          <w:p w14:paraId="099E8D09" w14:textId="77777777" w:rsidR="00CC5A37" w:rsidRPr="00F33061" w:rsidRDefault="00CC5A37" w:rsidP="00BE0F67">
            <w:pPr>
              <w:contextualSpacing/>
              <w:jc w:val="both"/>
              <w:rPr>
                <w:rFonts w:ascii="Arial" w:hAnsi="Arial" w:cs="Arial"/>
                <w:bCs/>
                <w:sz w:val="22"/>
                <w:szCs w:val="22"/>
              </w:rPr>
            </w:pPr>
          </w:p>
        </w:tc>
      </w:tr>
      <w:tr w:rsidR="00CC5A37" w:rsidRPr="00F33061" w14:paraId="79A6F4F9" w14:textId="77777777" w:rsidTr="00BE0F67">
        <w:trPr>
          <w:trHeight w:val="318"/>
        </w:trPr>
        <w:tc>
          <w:tcPr>
            <w:tcW w:w="1170" w:type="dxa"/>
            <w:shd w:val="clear" w:color="auto" w:fill="auto"/>
          </w:tcPr>
          <w:p w14:paraId="564223CC"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 Y 46</w:t>
            </w:r>
          </w:p>
        </w:tc>
        <w:tc>
          <w:tcPr>
            <w:tcW w:w="8010" w:type="dxa"/>
            <w:shd w:val="clear" w:color="auto" w:fill="auto"/>
          </w:tcPr>
          <w:p w14:paraId="42641D41" w14:textId="77777777" w:rsidR="00CC5A37" w:rsidRPr="00F33061" w:rsidRDefault="00CC5A37" w:rsidP="00BE0F67">
            <w:pPr>
              <w:contextualSpacing/>
              <w:jc w:val="both"/>
              <w:rPr>
                <w:rFonts w:ascii="Arial" w:hAnsi="Arial" w:cs="Arial"/>
                <w:bCs/>
                <w:sz w:val="22"/>
                <w:szCs w:val="22"/>
              </w:rPr>
            </w:pPr>
            <w:r w:rsidRPr="00F33061">
              <w:rPr>
                <w:rFonts w:ascii="Arial" w:hAnsi="Arial" w:cs="Arial"/>
                <w:bCs/>
                <w:sz w:val="22"/>
                <w:szCs w:val="22"/>
              </w:rPr>
              <w:t>Wastes collected from household/municipal waste</w:t>
            </w:r>
          </w:p>
          <w:p w14:paraId="15C31FC8" w14:textId="77777777" w:rsidR="00CC5A37" w:rsidRPr="00F33061" w:rsidRDefault="00CC5A37" w:rsidP="00BE0F67">
            <w:pPr>
              <w:contextualSpacing/>
              <w:jc w:val="both"/>
              <w:rPr>
                <w:rFonts w:ascii="Arial" w:hAnsi="Arial" w:cs="Arial"/>
                <w:bCs/>
                <w:sz w:val="22"/>
                <w:szCs w:val="22"/>
              </w:rPr>
            </w:pPr>
          </w:p>
        </w:tc>
      </w:tr>
      <w:tr w:rsidR="00CC5A37" w:rsidRPr="00F33061" w14:paraId="5388E714" w14:textId="77777777" w:rsidTr="00BE0F67">
        <w:trPr>
          <w:trHeight w:val="318"/>
        </w:trPr>
        <w:tc>
          <w:tcPr>
            <w:tcW w:w="1170" w:type="dxa"/>
            <w:shd w:val="clear" w:color="auto" w:fill="auto"/>
          </w:tcPr>
          <w:p w14:paraId="1510F2F0" w14:textId="77777777" w:rsidR="00CC5A37" w:rsidRPr="00F33061" w:rsidRDefault="00CC5A37" w:rsidP="00BE0F67">
            <w:pPr>
              <w:contextualSpacing/>
              <w:jc w:val="both"/>
              <w:rPr>
                <w:rFonts w:ascii="Arial" w:hAnsi="Arial" w:cs="Arial"/>
                <w:sz w:val="22"/>
                <w:szCs w:val="22"/>
              </w:rPr>
            </w:pPr>
            <w:r w:rsidRPr="00F33061">
              <w:rPr>
                <w:rFonts w:ascii="Arial" w:hAnsi="Arial" w:cs="Arial"/>
                <w:sz w:val="22"/>
                <w:szCs w:val="22"/>
              </w:rPr>
              <w:t xml:space="preserve"> Y 47</w:t>
            </w:r>
          </w:p>
        </w:tc>
        <w:tc>
          <w:tcPr>
            <w:tcW w:w="8010" w:type="dxa"/>
            <w:shd w:val="clear" w:color="auto" w:fill="auto"/>
          </w:tcPr>
          <w:p w14:paraId="4644AC0A" w14:textId="77777777" w:rsidR="00CC5A37" w:rsidRPr="00F33061" w:rsidRDefault="00CC5A37" w:rsidP="00BE0F67">
            <w:pPr>
              <w:contextualSpacing/>
              <w:jc w:val="both"/>
              <w:rPr>
                <w:rFonts w:ascii="Arial" w:hAnsi="Arial" w:cs="Arial"/>
                <w:bCs/>
                <w:sz w:val="22"/>
                <w:szCs w:val="22"/>
              </w:rPr>
            </w:pPr>
            <w:r w:rsidRPr="00F33061">
              <w:rPr>
                <w:rFonts w:ascii="Arial" w:hAnsi="Arial" w:cs="Arial"/>
                <w:bCs/>
                <w:sz w:val="22"/>
                <w:szCs w:val="22"/>
              </w:rPr>
              <w:t>Residues arising from the incineration of household wastes</w:t>
            </w:r>
          </w:p>
        </w:tc>
      </w:tr>
    </w:tbl>
    <w:p w14:paraId="4615D63D" w14:textId="77777777" w:rsidR="00CC5A37" w:rsidRPr="00F33061" w:rsidRDefault="00CC5A37" w:rsidP="00CC5A37">
      <w:pPr>
        <w:contextualSpacing/>
        <w:rPr>
          <w:rFonts w:ascii="Arial" w:hAnsi="Arial" w:cs="Arial"/>
          <w:b/>
          <w:bCs/>
          <w:sz w:val="22"/>
          <w:szCs w:val="22"/>
        </w:rPr>
      </w:pPr>
    </w:p>
    <w:p w14:paraId="4EC8B22F" w14:textId="77777777" w:rsidR="00CC5A37" w:rsidRPr="004D5E8F" w:rsidRDefault="00CC5A37" w:rsidP="00CC5A37">
      <w:pPr>
        <w:contextualSpacing/>
        <w:rPr>
          <w:rFonts w:ascii="Arial" w:hAnsi="Arial" w:cs="Arial"/>
          <w:sz w:val="22"/>
          <w:szCs w:val="22"/>
          <w:lang w:eastAsia="zh-CN"/>
        </w:rPr>
        <w:sectPr w:rsidR="00CC5A37" w:rsidRPr="004D5E8F" w:rsidSect="00AA0B74">
          <w:pgSz w:w="12240" w:h="15840"/>
          <w:pgMar w:top="994" w:right="1037" w:bottom="1440" w:left="1699" w:header="720" w:footer="720" w:gutter="0"/>
          <w:cols w:space="720"/>
          <w:docGrid w:linePitch="360"/>
        </w:sectPr>
      </w:pPr>
      <w:r>
        <w:rPr>
          <w:rFonts w:ascii="Arial" w:hAnsi="Arial" w:cs="Arial" w:hint="eastAsia"/>
          <w:sz w:val="22"/>
          <w:szCs w:val="22"/>
          <w:lang w:eastAsia="zh-CN"/>
        </w:rPr>
        <w:t xml:space="preserve">Source: </w:t>
      </w:r>
      <w:r w:rsidRPr="00F33061">
        <w:rPr>
          <w:rFonts w:ascii="Arial" w:hAnsi="Arial" w:cs="Arial"/>
          <w:sz w:val="22"/>
          <w:szCs w:val="22"/>
        </w:rPr>
        <w:t>Hazardous and Other Wastes (Management and Transboundary Movement) Rules, 201</w:t>
      </w:r>
      <w:r>
        <w:rPr>
          <w:rFonts w:ascii="Arial" w:hAnsi="Arial" w:cs="Arial" w:hint="eastAsia"/>
          <w:sz w:val="22"/>
          <w:szCs w:val="22"/>
          <w:lang w:eastAsia="zh-CN"/>
        </w:rPr>
        <w:t>6</w:t>
      </w:r>
    </w:p>
    <w:p w14:paraId="04688E9E" w14:textId="77777777" w:rsidR="00CC5A37" w:rsidRPr="00F33061" w:rsidRDefault="00CC5A37" w:rsidP="00CC5A37">
      <w:pPr>
        <w:contextualSpacing/>
        <w:rPr>
          <w:rFonts w:ascii="Arial" w:hAnsi="Arial" w:cs="Arial"/>
          <w:b/>
          <w:bCs/>
          <w:sz w:val="22"/>
          <w:szCs w:val="22"/>
          <w:lang w:eastAsia="zh-CN"/>
        </w:rPr>
      </w:pPr>
    </w:p>
    <w:p w14:paraId="3A33F933" w14:textId="77777777" w:rsidR="00CC5A37" w:rsidRPr="00F33061" w:rsidRDefault="00CC5A37" w:rsidP="00CC5A37">
      <w:pPr>
        <w:pStyle w:val="NoSpacing1"/>
        <w:contextualSpacing/>
        <w:rPr>
          <w:rFonts w:ascii="Arial" w:hAnsi="Arial" w:cs="Arial"/>
          <w:b/>
          <w:bCs/>
          <w:szCs w:val="22"/>
        </w:rPr>
      </w:pPr>
      <w:r w:rsidRPr="00F33061">
        <w:rPr>
          <w:rFonts w:ascii="Arial" w:hAnsi="Arial" w:cs="Arial"/>
          <w:b/>
          <w:bCs/>
          <w:szCs w:val="22"/>
        </w:rPr>
        <w:t xml:space="preserve"> </w:t>
      </w:r>
    </w:p>
    <w:p w14:paraId="76EBDD09" w14:textId="77777777" w:rsidR="00CC5A37" w:rsidRPr="00F33061" w:rsidRDefault="00CC5A37" w:rsidP="00CC5A37">
      <w:pPr>
        <w:contextualSpacing/>
        <w:jc w:val="both"/>
        <w:rPr>
          <w:rFonts w:ascii="Arial" w:hAnsi="Arial" w:cs="Arial"/>
          <w:sz w:val="22"/>
          <w:szCs w:val="22"/>
          <w:lang w:eastAsia="zh-CN"/>
        </w:rPr>
      </w:pPr>
    </w:p>
    <w:p w14:paraId="518B955C" w14:textId="77777777" w:rsidR="00CC5A37" w:rsidRPr="00F33061" w:rsidRDefault="00CC5A37" w:rsidP="00CC5A37">
      <w:pPr>
        <w:ind w:left="426" w:hanging="284"/>
        <w:contextualSpacing/>
        <w:jc w:val="both"/>
        <w:rPr>
          <w:rFonts w:ascii="Arial" w:hAnsi="Arial" w:cs="Arial"/>
          <w:sz w:val="22"/>
          <w:szCs w:val="22"/>
        </w:rPr>
      </w:pPr>
    </w:p>
    <w:p w14:paraId="72EDC442" w14:textId="77777777" w:rsidR="00CC5A37" w:rsidRPr="00F33061" w:rsidRDefault="00CC5A37" w:rsidP="00CC5A37">
      <w:pPr>
        <w:contextualSpacing/>
        <w:jc w:val="both"/>
        <w:rPr>
          <w:rFonts w:ascii="Arial" w:hAnsi="Arial" w:cs="Arial"/>
          <w:sz w:val="22"/>
          <w:szCs w:val="22"/>
        </w:rPr>
      </w:pPr>
    </w:p>
    <w:p w14:paraId="268F1003" w14:textId="77777777" w:rsidR="00CC5A37" w:rsidRPr="00F33061" w:rsidRDefault="00CC5A37" w:rsidP="00CC5A37">
      <w:pPr>
        <w:ind w:left="1440" w:hanging="1440"/>
        <w:contextualSpacing/>
        <w:jc w:val="both"/>
        <w:rPr>
          <w:rFonts w:ascii="Arial" w:hAnsi="Arial" w:cs="Arial"/>
          <w:sz w:val="22"/>
          <w:szCs w:val="22"/>
        </w:rPr>
      </w:pPr>
    </w:p>
    <w:p w14:paraId="59661CA1" w14:textId="77777777" w:rsidR="00C271CC" w:rsidRDefault="00C271CC"/>
    <w:sectPr w:rsidR="00C271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F57C7"/>
    <w:multiLevelType w:val="hybridMultilevel"/>
    <w:tmpl w:val="4DB44512"/>
    <w:lvl w:ilvl="0" w:tplc="5126B29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DA1629"/>
    <w:multiLevelType w:val="hybridMultilevel"/>
    <w:tmpl w:val="9DC03952"/>
    <w:lvl w:ilvl="0" w:tplc="5126B296">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C1D4656"/>
    <w:multiLevelType w:val="hybridMultilevel"/>
    <w:tmpl w:val="1812D6F0"/>
    <w:lvl w:ilvl="0" w:tplc="5126B29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F5"/>
    <w:rsid w:val="00001AFC"/>
    <w:rsid w:val="0018026D"/>
    <w:rsid w:val="002A3BF5"/>
    <w:rsid w:val="00763735"/>
    <w:rsid w:val="008C33E8"/>
    <w:rsid w:val="00955ED9"/>
    <w:rsid w:val="009572F5"/>
    <w:rsid w:val="00C271CC"/>
    <w:rsid w:val="00CC5A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522D"/>
  <w15:docId w15:val="{B959C3A8-4F57-4576-94D6-6FEC2E36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37"/>
    <w:pPr>
      <w:spacing w:after="0" w:line="240" w:lineRule="auto"/>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CC5A37"/>
    <w:pPr>
      <w:spacing w:after="0" w:line="240" w:lineRule="auto"/>
    </w:pPr>
    <w:rPr>
      <w:rFonts w:ascii="Calibri" w:eastAsia="Calibri" w:hAnsi="Calibri" w:cs="Mangal"/>
      <w:szCs w:val="20"/>
      <w:lang w:val="en-IN"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1324</Words>
  <Characters>7553</Characters>
  <Application>Microsoft Office Word</Application>
  <DocSecurity>0</DocSecurity>
  <Lines>62</Lines>
  <Paragraphs>17</Paragraphs>
  <ScaleCrop>false</ScaleCrop>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Liu</dc:creator>
  <cp:keywords/>
  <dc:description/>
  <cp:lastModifiedBy>Long Ding</cp:lastModifiedBy>
  <cp:revision>3</cp:revision>
  <dcterms:created xsi:type="dcterms:W3CDTF">2019-11-20T11:01:00Z</dcterms:created>
  <dcterms:modified xsi:type="dcterms:W3CDTF">2019-11-20T11:01:00Z</dcterms:modified>
</cp:coreProperties>
</file>